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EA3D91">
      <w:pPr>
        <w:spacing w:line="560" w:lineRule="exact"/>
        <w:jc w:val="center"/>
        <w:rPr>
          <w:rFonts w:ascii="Times New Roman" w:hAnsi="方正大标宋简体" w:eastAsia="方正大标宋简体" w:cs="Times New Roman"/>
          <w:bCs/>
          <w:color w:val="000000"/>
          <w:kern w:val="0"/>
          <w:sz w:val="44"/>
          <w:szCs w:val="44"/>
        </w:rPr>
      </w:pPr>
      <w:bookmarkStart w:id="391" w:name="_GoBack"/>
      <w:bookmarkEnd w:id="391"/>
    </w:p>
    <w:p w14:paraId="66FA3173">
      <w:pPr>
        <w:spacing w:line="560" w:lineRule="exact"/>
        <w:jc w:val="center"/>
        <w:rPr>
          <w:rFonts w:ascii="Times New Roman" w:hAnsi="方正大标宋简体" w:eastAsia="方正大标宋简体" w:cs="Times New Roman"/>
          <w:bCs/>
          <w:color w:val="000000"/>
          <w:kern w:val="0"/>
          <w:sz w:val="44"/>
          <w:szCs w:val="44"/>
        </w:rPr>
      </w:pPr>
    </w:p>
    <w:p w14:paraId="7679C47A">
      <w:pPr>
        <w:spacing w:line="560" w:lineRule="exact"/>
        <w:jc w:val="center"/>
        <w:rPr>
          <w:rFonts w:ascii="Times New Roman" w:hAnsi="方正大标宋简体" w:eastAsia="方正大标宋简体" w:cs="Times New Roman"/>
          <w:bCs/>
          <w:color w:val="000000"/>
          <w:kern w:val="0"/>
          <w:sz w:val="44"/>
          <w:szCs w:val="44"/>
        </w:rPr>
      </w:pPr>
    </w:p>
    <w:p w14:paraId="2D81E66D">
      <w:pPr>
        <w:spacing w:line="560" w:lineRule="exact"/>
        <w:jc w:val="center"/>
        <w:rPr>
          <w:rFonts w:ascii="Times New Roman" w:hAnsi="方正大标宋简体" w:eastAsia="方正大标宋简体" w:cs="Times New Roman"/>
          <w:bCs/>
          <w:color w:val="000000"/>
          <w:kern w:val="0"/>
          <w:sz w:val="44"/>
          <w:szCs w:val="44"/>
        </w:rPr>
      </w:pPr>
    </w:p>
    <w:p w14:paraId="1B24A4DA">
      <w:pPr>
        <w:spacing w:line="560" w:lineRule="exact"/>
        <w:jc w:val="center"/>
        <w:rPr>
          <w:rFonts w:ascii="Times New Roman" w:hAnsi="Times New Roman" w:eastAsia="宋体" w:cs="Times New Roman"/>
          <w:sz w:val="21"/>
        </w:rPr>
      </w:pPr>
    </w:p>
    <w:p w14:paraId="6983EBBE">
      <w:pPr>
        <w:spacing w:line="560" w:lineRule="exact"/>
        <w:jc w:val="center"/>
        <w:rPr>
          <w:rFonts w:ascii="Times New Roman" w:hAnsi="方正大标宋简体" w:eastAsia="方正大标宋简体" w:cs="Times New Roman"/>
          <w:bCs/>
          <w:color w:val="000000"/>
          <w:kern w:val="0"/>
          <w:sz w:val="44"/>
          <w:szCs w:val="44"/>
        </w:rPr>
      </w:pPr>
    </w:p>
    <w:p w14:paraId="0FBC0DA7">
      <w:pPr>
        <w:spacing w:line="560" w:lineRule="exact"/>
        <w:jc w:val="center"/>
        <w:rPr>
          <w:rFonts w:ascii="Times New Roman" w:hAnsi="方正大标宋简体" w:eastAsia="方正大标宋简体" w:cs="Times New Roman"/>
          <w:bCs/>
          <w:color w:val="000000"/>
          <w:kern w:val="0"/>
          <w:sz w:val="44"/>
          <w:szCs w:val="44"/>
        </w:rPr>
      </w:pPr>
      <w:r>
        <w:rPr>
          <w:rFonts w:hint="eastAsia" w:ascii="Times New Roman" w:hAnsi="方正大标宋简体" w:eastAsia="方正大标宋简体" w:cs="Times New Roman"/>
          <w:bCs/>
          <w:color w:val="000000"/>
          <w:kern w:val="0"/>
          <w:sz w:val="44"/>
          <w:szCs w:val="44"/>
        </w:rPr>
        <w:t>上海证券交易所上市公司自律监管指南</w:t>
      </w:r>
    </w:p>
    <w:p w14:paraId="775F1038">
      <w:pPr>
        <w:spacing w:line="560" w:lineRule="exact"/>
        <w:jc w:val="center"/>
        <w:rPr>
          <w:rFonts w:ascii="Times New Roman" w:hAnsi="方正大标宋简体" w:eastAsia="方正大标宋简体" w:cs="Times New Roman"/>
          <w:bCs/>
          <w:color w:val="000000"/>
          <w:kern w:val="0"/>
          <w:sz w:val="44"/>
          <w:szCs w:val="44"/>
        </w:rPr>
      </w:pPr>
      <w:bookmarkStart w:id="0" w:name="_Toc7923"/>
      <w:bookmarkStart w:id="1" w:name="_Toc180164625"/>
      <w:bookmarkStart w:id="2" w:name="_Toc15559"/>
      <w:bookmarkStart w:id="3" w:name="_Toc180165185"/>
      <w:bookmarkStart w:id="4" w:name="_Toc30172"/>
      <w:bookmarkStart w:id="5" w:name="_Toc19776"/>
      <w:bookmarkStart w:id="6" w:name="_Toc16032"/>
      <w:bookmarkStart w:id="7" w:name="_Toc8597"/>
      <w:bookmarkStart w:id="8" w:name="_Toc1765"/>
      <w:bookmarkStart w:id="9" w:name="_Toc18777"/>
      <w:bookmarkStart w:id="10" w:name="_Toc180164922"/>
      <w:r>
        <w:rPr>
          <w:rFonts w:hint="eastAsia" w:ascii="Times New Roman" w:hAnsi="方正大标宋简体" w:eastAsia="方正大标宋简体" w:cs="Times New Roman"/>
          <w:bCs/>
          <w:color w:val="000000"/>
          <w:kern w:val="0"/>
          <w:sz w:val="44"/>
          <w:szCs w:val="44"/>
        </w:rPr>
        <w:t>第4号——可持续发展报告</w:t>
      </w:r>
      <w:bookmarkEnd w:id="0"/>
      <w:bookmarkEnd w:id="1"/>
      <w:bookmarkEnd w:id="2"/>
      <w:bookmarkEnd w:id="3"/>
      <w:bookmarkEnd w:id="4"/>
      <w:bookmarkEnd w:id="5"/>
      <w:bookmarkEnd w:id="6"/>
      <w:bookmarkEnd w:id="7"/>
      <w:bookmarkEnd w:id="8"/>
      <w:bookmarkEnd w:id="9"/>
      <w:bookmarkEnd w:id="10"/>
      <w:bookmarkStart w:id="11" w:name="_Toc12752"/>
      <w:bookmarkStart w:id="12" w:name="_Toc13768"/>
      <w:bookmarkStart w:id="13" w:name="_Toc27596"/>
      <w:bookmarkStart w:id="14" w:name="_Toc180164626"/>
      <w:bookmarkStart w:id="15" w:name="_Toc180164923"/>
      <w:bookmarkStart w:id="16" w:name="_Toc180165186"/>
      <w:bookmarkStart w:id="17" w:name="_Toc16805"/>
      <w:bookmarkStart w:id="18" w:name="_Toc25542"/>
      <w:bookmarkStart w:id="19" w:name="_Toc18782"/>
      <w:bookmarkStart w:id="20" w:name="_Toc19507"/>
      <w:r>
        <w:rPr>
          <w:rFonts w:hint="eastAsia" w:ascii="Times New Roman" w:hAnsi="方正大标宋简体" w:eastAsia="方正大标宋简体" w:cs="Times New Roman"/>
          <w:bCs/>
          <w:color w:val="000000"/>
          <w:kern w:val="0"/>
          <w:sz w:val="44"/>
          <w:szCs w:val="44"/>
        </w:rPr>
        <w:t>编制</w:t>
      </w:r>
    </w:p>
    <w:p w14:paraId="7044B218">
      <w:pPr>
        <w:spacing w:line="560" w:lineRule="exact"/>
        <w:jc w:val="center"/>
        <w:rPr>
          <w:rFonts w:ascii="Times New Roman" w:hAnsi="方正大标宋简体" w:eastAsia="方正大标宋简体" w:cs="Times New Roman"/>
          <w:bCs/>
          <w:color w:val="000000"/>
          <w:kern w:val="0"/>
          <w:sz w:val="44"/>
          <w:szCs w:val="44"/>
        </w:rPr>
      </w:pPr>
    </w:p>
    <w:p w14:paraId="64FE14FB">
      <w:pPr>
        <w:spacing w:line="560" w:lineRule="exact"/>
        <w:jc w:val="center"/>
        <w:rPr>
          <w:rFonts w:ascii="Times New Roman" w:hAnsi="方正大标宋简体" w:eastAsia="方正大标宋简体" w:cs="Times New Roman"/>
          <w:bCs/>
          <w:color w:val="000000"/>
          <w:kern w:val="0"/>
          <w:sz w:val="44"/>
          <w:szCs w:val="44"/>
        </w:rPr>
      </w:pPr>
    </w:p>
    <w:p w14:paraId="741F740F">
      <w:pPr>
        <w:spacing w:line="560" w:lineRule="exact"/>
        <w:jc w:val="center"/>
        <w:rPr>
          <w:rFonts w:ascii="Times New Roman" w:hAnsi="方正大标宋简体" w:eastAsia="方正大标宋简体" w:cs="Times New Roman"/>
          <w:bCs/>
          <w:color w:val="000000"/>
          <w:kern w:val="0"/>
          <w:sz w:val="44"/>
          <w:szCs w:val="44"/>
        </w:rPr>
      </w:pPr>
    </w:p>
    <w:p w14:paraId="3A142FD1">
      <w:pPr>
        <w:spacing w:line="560" w:lineRule="exact"/>
        <w:jc w:val="center"/>
        <w:rPr>
          <w:rFonts w:ascii="黑体" w:hAnsi="黑体" w:eastAsia="黑体" w:cs="Times New Roman"/>
          <w:b/>
          <w:bCs/>
          <w:sz w:val="36"/>
          <w:szCs w:val="36"/>
        </w:rPr>
      </w:pPr>
      <w:r>
        <w:rPr>
          <w:rFonts w:ascii="黑体" w:hAnsi="黑体" w:eastAsia="黑体" w:cs="Times New Roman"/>
          <w:b/>
          <w:bCs/>
          <w:sz w:val="36"/>
          <w:szCs w:val="36"/>
        </w:rPr>
        <w:t>第一号 总体要求与披露框架</w:t>
      </w:r>
      <w:bookmarkEnd w:id="11"/>
      <w:bookmarkEnd w:id="12"/>
      <w:bookmarkEnd w:id="13"/>
      <w:bookmarkEnd w:id="14"/>
      <w:bookmarkEnd w:id="15"/>
      <w:bookmarkEnd w:id="16"/>
      <w:bookmarkEnd w:id="17"/>
      <w:bookmarkEnd w:id="18"/>
      <w:bookmarkEnd w:id="19"/>
      <w:bookmarkEnd w:id="20"/>
    </w:p>
    <w:p w14:paraId="0ECA725F">
      <w:pPr>
        <w:widowControl/>
        <w:adjustRightInd w:val="0"/>
        <w:snapToGrid w:val="0"/>
        <w:ind w:firstLine="723"/>
        <w:jc w:val="left"/>
        <w:rPr>
          <w:rFonts w:ascii="Times New Roman" w:hAnsi="Times New Roman" w:eastAsia="黑体" w:cs="Times New Roman"/>
          <w:b/>
          <w:bCs/>
          <w:sz w:val="36"/>
          <w:szCs w:val="36"/>
        </w:rPr>
      </w:pPr>
      <w:r>
        <w:rPr>
          <w:rFonts w:ascii="Times New Roman" w:hAnsi="Times New Roman" w:eastAsia="黑体" w:cs="Times New Roman"/>
          <w:b/>
          <w:bCs/>
          <w:sz w:val="36"/>
          <w:szCs w:val="36"/>
        </w:rPr>
        <w:br w:type="page"/>
      </w:r>
    </w:p>
    <w:sdt>
      <w:sdtPr>
        <w:rPr>
          <w:rFonts w:hint="eastAsia" w:ascii="黑体" w:hAnsi="黑体" w:eastAsia="黑体" w:cs="黑体"/>
          <w:szCs w:val="30"/>
          <w:lang w:val="zh-CN"/>
        </w:rPr>
        <w:id w:val="-1"/>
        <w:docPartObj>
          <w:docPartGallery w:val="Table of Contents"/>
          <w:docPartUnique/>
        </w:docPartObj>
      </w:sdtPr>
      <w:sdtEndPr>
        <w:rPr>
          <w:rFonts w:hint="eastAsia" w:ascii="Times New Roman" w:hAnsi="Times New Roman" w:eastAsia="宋体" w:cs="Times New Roman"/>
          <w:b/>
          <w:bCs/>
          <w:sz w:val="21"/>
          <w:szCs w:val="24"/>
          <w:lang w:val="zh-CN"/>
        </w:rPr>
      </w:sdtEndPr>
      <w:sdtContent>
        <w:p w14:paraId="490E820B">
          <w:pPr>
            <w:keepNext/>
            <w:keepLines/>
            <w:widowControl/>
            <w:spacing w:before="156" w:line="260" w:lineRule="auto"/>
            <w:jc w:val="center"/>
            <w:rPr>
              <w:rFonts w:ascii="黑体" w:hAnsi="黑体" w:eastAsia="黑体" w:cs="黑体"/>
              <w:b/>
              <w:bCs/>
              <w:kern w:val="0"/>
              <w:szCs w:val="30"/>
            </w:rPr>
          </w:pPr>
          <w:bookmarkStart w:id="21" w:name="_Toc21968"/>
          <w:r>
            <w:rPr>
              <w:rFonts w:hint="eastAsia" w:ascii="黑体" w:hAnsi="黑体" w:eastAsia="黑体" w:cs="黑体"/>
              <w:b/>
              <w:bCs/>
              <w:kern w:val="0"/>
              <w:szCs w:val="30"/>
              <w:lang w:val="zh-CN"/>
            </w:rPr>
            <w:t>目  录</w:t>
          </w:r>
        </w:p>
        <w:p w14:paraId="13EEBF2B">
          <w:pPr>
            <w:pStyle w:val="17"/>
          </w:pPr>
          <w:r>
            <w:rPr>
              <w:rFonts w:ascii="黑体" w:hAnsi="黑体" w:eastAsia="黑体"/>
            </w:rPr>
            <w:fldChar w:fldCharType="begin"/>
          </w:r>
          <w:r>
            <w:rPr>
              <w:rFonts w:ascii="黑体" w:hAnsi="黑体" w:eastAsia="黑体"/>
            </w:rPr>
            <w:instrText xml:space="preserve"> TOC \o "1-3" \h \z \u </w:instrText>
          </w:r>
          <w:r>
            <w:rPr>
              <w:rFonts w:ascii="黑体" w:hAnsi="黑体" w:eastAsia="黑体"/>
            </w:rPr>
            <w:fldChar w:fldCharType="separate"/>
          </w:r>
          <w:r>
            <w:fldChar w:fldCharType="begin"/>
          </w:r>
          <w:r>
            <w:instrText xml:space="preserve"> HYPERLINK \l "_Toc18830" </w:instrText>
          </w:r>
          <w:r>
            <w:fldChar w:fldCharType="separate"/>
          </w:r>
          <w:r>
            <w:rPr>
              <w:rFonts w:hint="eastAsia" w:eastAsia="黑体" w:cs="Times New Roman"/>
            </w:rPr>
            <w:t>第一章</w:t>
          </w:r>
          <w:r>
            <w:rPr>
              <w:rFonts w:eastAsia="黑体" w:cs="Times New Roman"/>
            </w:rPr>
            <w:t xml:space="preserve"> </w:t>
          </w:r>
          <w:r>
            <w:rPr>
              <w:rFonts w:hint="eastAsia" w:eastAsia="黑体" w:cs="Times New Roman"/>
            </w:rPr>
            <w:t>总体要求</w:t>
          </w:r>
          <w:r>
            <w:tab/>
          </w:r>
          <w:r>
            <w:fldChar w:fldCharType="begin"/>
          </w:r>
          <w:r>
            <w:instrText xml:space="preserve"> PAGEREF _Toc18830 \h </w:instrText>
          </w:r>
          <w:r>
            <w:fldChar w:fldCharType="separate"/>
          </w:r>
          <w:r>
            <w:t>1</w:t>
          </w:r>
          <w:r>
            <w:fldChar w:fldCharType="end"/>
          </w:r>
          <w:r>
            <w:fldChar w:fldCharType="end"/>
          </w:r>
        </w:p>
        <w:p w14:paraId="5EA39900">
          <w:pPr>
            <w:pStyle w:val="17"/>
          </w:pPr>
          <w:r>
            <w:fldChar w:fldCharType="begin"/>
          </w:r>
          <w:r>
            <w:instrText xml:space="preserve"> HYPERLINK \l "_Toc1697" </w:instrText>
          </w:r>
          <w:r>
            <w:fldChar w:fldCharType="separate"/>
          </w:r>
          <w:r>
            <w:rPr>
              <w:rFonts w:hint="eastAsia" w:eastAsia="黑体" w:cs="Times New Roman"/>
            </w:rPr>
            <w:t>第二章</w:t>
          </w:r>
          <w:r>
            <w:rPr>
              <w:rFonts w:eastAsia="黑体" w:cs="Times New Roman"/>
            </w:rPr>
            <w:t xml:space="preserve"> </w:t>
          </w:r>
          <w:r>
            <w:rPr>
              <w:rFonts w:hint="eastAsia" w:eastAsia="黑体" w:cs="Times New Roman"/>
            </w:rPr>
            <w:t>重要性议题识别和重要性分析</w:t>
          </w:r>
          <w:r>
            <w:tab/>
          </w:r>
          <w:r>
            <w:fldChar w:fldCharType="begin"/>
          </w:r>
          <w:r>
            <w:instrText xml:space="preserve"> PAGEREF _Toc1697 \h </w:instrText>
          </w:r>
          <w:r>
            <w:fldChar w:fldCharType="separate"/>
          </w:r>
          <w:r>
            <w:t>5</w:t>
          </w:r>
          <w:r>
            <w:fldChar w:fldCharType="end"/>
          </w:r>
          <w:r>
            <w:fldChar w:fldCharType="end"/>
          </w:r>
        </w:p>
        <w:p w14:paraId="6DAC4E6A">
          <w:pPr>
            <w:pStyle w:val="22"/>
          </w:pPr>
          <w:r>
            <w:fldChar w:fldCharType="begin"/>
          </w:r>
          <w:r>
            <w:instrText xml:space="preserve"> HYPERLINK \l "_Toc27183" </w:instrText>
          </w:r>
          <w:r>
            <w:fldChar w:fldCharType="separate"/>
          </w:r>
          <w:r>
            <w:rPr>
              <w:rFonts w:hint="eastAsia"/>
              <w:lang w:bidi="ar"/>
            </w:rPr>
            <w:t>一、《指引》对重要性议题的定义及要求</w:t>
          </w:r>
          <w:r>
            <w:tab/>
          </w:r>
          <w:r>
            <w:fldChar w:fldCharType="begin"/>
          </w:r>
          <w:r>
            <w:instrText xml:space="preserve"> PAGEREF _Toc27183 \h </w:instrText>
          </w:r>
          <w:r>
            <w:fldChar w:fldCharType="separate"/>
          </w:r>
          <w:r>
            <w:t>5</w:t>
          </w:r>
          <w:r>
            <w:fldChar w:fldCharType="end"/>
          </w:r>
          <w:r>
            <w:fldChar w:fldCharType="end"/>
          </w:r>
        </w:p>
        <w:p w14:paraId="5BDB3DD6">
          <w:pPr>
            <w:pStyle w:val="22"/>
          </w:pPr>
          <w:r>
            <w:fldChar w:fldCharType="begin"/>
          </w:r>
          <w:r>
            <w:instrText xml:space="preserve"> HYPERLINK \l "_Toc11063" </w:instrText>
          </w:r>
          <w:r>
            <w:fldChar w:fldCharType="separate"/>
          </w:r>
          <w:r>
            <w:rPr>
              <w:rFonts w:hint="eastAsia"/>
              <w:lang w:bidi="ar"/>
            </w:rPr>
            <w:t>二、议题重要性分析步骤</w:t>
          </w:r>
          <w:r>
            <w:tab/>
          </w:r>
          <w:r>
            <w:fldChar w:fldCharType="begin"/>
          </w:r>
          <w:r>
            <w:instrText xml:space="preserve"> PAGEREF _Toc11063 \h </w:instrText>
          </w:r>
          <w:r>
            <w:fldChar w:fldCharType="separate"/>
          </w:r>
          <w:r>
            <w:t>6</w:t>
          </w:r>
          <w:r>
            <w:fldChar w:fldCharType="end"/>
          </w:r>
          <w:r>
            <w:fldChar w:fldCharType="end"/>
          </w:r>
        </w:p>
        <w:p w14:paraId="5CEB9625">
          <w:pPr>
            <w:pStyle w:val="17"/>
          </w:pPr>
          <w:r>
            <w:fldChar w:fldCharType="begin"/>
          </w:r>
          <w:r>
            <w:instrText xml:space="preserve"> HYPERLINK \l "_Toc11847" </w:instrText>
          </w:r>
          <w:r>
            <w:fldChar w:fldCharType="separate"/>
          </w:r>
          <w:r>
            <w:rPr>
              <w:rFonts w:hint="eastAsia" w:eastAsia="黑体" w:cs="Times New Roman"/>
            </w:rPr>
            <w:t>第三章</w:t>
          </w:r>
          <w:r>
            <w:rPr>
              <w:rFonts w:eastAsia="黑体" w:cs="Times New Roman"/>
            </w:rPr>
            <w:t xml:space="preserve"> </w:t>
          </w:r>
          <w:r>
            <w:rPr>
              <w:rFonts w:hint="eastAsia" w:eastAsia="黑体" w:cs="Times New Roman"/>
            </w:rPr>
            <w:t>治理</w:t>
          </w:r>
          <w:r>
            <w:tab/>
          </w:r>
          <w:r>
            <w:fldChar w:fldCharType="begin"/>
          </w:r>
          <w:r>
            <w:instrText xml:space="preserve"> PAGEREF _Toc11847 \h </w:instrText>
          </w:r>
          <w:r>
            <w:fldChar w:fldCharType="separate"/>
          </w:r>
          <w:r>
            <w:t>16</w:t>
          </w:r>
          <w:r>
            <w:fldChar w:fldCharType="end"/>
          </w:r>
          <w:r>
            <w:fldChar w:fldCharType="end"/>
          </w:r>
        </w:p>
        <w:p w14:paraId="7E4AAF17">
          <w:pPr>
            <w:pStyle w:val="22"/>
          </w:pPr>
          <w:r>
            <w:fldChar w:fldCharType="begin"/>
          </w:r>
          <w:r>
            <w:instrText xml:space="preserve"> HYPERLINK \l "_Toc32279" </w:instrText>
          </w:r>
          <w:r>
            <w:fldChar w:fldCharType="separate"/>
          </w:r>
          <w:r>
            <w:rPr>
              <w:rFonts w:hint="eastAsia"/>
            </w:rPr>
            <w:t>一、建立可持续发展</w:t>
          </w:r>
          <w:r>
            <w:t>/ESG</w:t>
          </w:r>
          <w:r>
            <w:rPr>
              <w:rFonts w:hint="eastAsia"/>
            </w:rPr>
            <w:t>治理架构</w:t>
          </w:r>
          <w:r>
            <w:tab/>
          </w:r>
          <w:r>
            <w:fldChar w:fldCharType="begin"/>
          </w:r>
          <w:r>
            <w:instrText xml:space="preserve"> PAGEREF _Toc32279 \h </w:instrText>
          </w:r>
          <w:r>
            <w:fldChar w:fldCharType="separate"/>
          </w:r>
          <w:r>
            <w:t>16</w:t>
          </w:r>
          <w:r>
            <w:fldChar w:fldCharType="end"/>
          </w:r>
          <w:r>
            <w:fldChar w:fldCharType="end"/>
          </w:r>
        </w:p>
        <w:p w14:paraId="634FA686">
          <w:pPr>
            <w:pStyle w:val="22"/>
          </w:pPr>
          <w:r>
            <w:fldChar w:fldCharType="begin"/>
          </w:r>
          <w:r>
            <w:instrText xml:space="preserve"> HYPERLINK \l "_Toc59" </w:instrText>
          </w:r>
          <w:r>
            <w:fldChar w:fldCharType="separate"/>
          </w:r>
          <w:r>
            <w:rPr>
              <w:rFonts w:hint="eastAsia"/>
            </w:rPr>
            <w:t>二、建立可持续发展相关信息报告、监督机制</w:t>
          </w:r>
          <w:r>
            <w:tab/>
          </w:r>
          <w:r>
            <w:fldChar w:fldCharType="begin"/>
          </w:r>
          <w:r>
            <w:instrText xml:space="preserve"> PAGEREF _Toc59 \h </w:instrText>
          </w:r>
          <w:r>
            <w:fldChar w:fldCharType="separate"/>
          </w:r>
          <w:r>
            <w:t>20</w:t>
          </w:r>
          <w:r>
            <w:fldChar w:fldCharType="end"/>
          </w:r>
          <w:r>
            <w:fldChar w:fldCharType="end"/>
          </w:r>
        </w:p>
        <w:p w14:paraId="3BCFE574">
          <w:pPr>
            <w:pStyle w:val="17"/>
          </w:pPr>
          <w:r>
            <w:fldChar w:fldCharType="begin"/>
          </w:r>
          <w:r>
            <w:instrText xml:space="preserve"> HYPERLINK \l "_Toc25105" </w:instrText>
          </w:r>
          <w:r>
            <w:fldChar w:fldCharType="separate"/>
          </w:r>
          <w:r>
            <w:rPr>
              <w:rFonts w:hint="eastAsia" w:eastAsia="黑体" w:cs="Times New Roman"/>
            </w:rPr>
            <w:t>第四章</w:t>
          </w:r>
          <w:r>
            <w:rPr>
              <w:rFonts w:eastAsia="黑体" w:cs="Times New Roman"/>
            </w:rPr>
            <w:t xml:space="preserve"> </w:t>
          </w:r>
          <w:r>
            <w:rPr>
              <w:rFonts w:hint="eastAsia" w:eastAsia="黑体" w:cs="Times New Roman"/>
            </w:rPr>
            <w:t>战略</w:t>
          </w:r>
          <w:r>
            <w:tab/>
          </w:r>
          <w:r>
            <w:fldChar w:fldCharType="begin"/>
          </w:r>
          <w:r>
            <w:instrText xml:space="preserve"> PAGEREF _Toc25105 \h </w:instrText>
          </w:r>
          <w:r>
            <w:fldChar w:fldCharType="separate"/>
          </w:r>
          <w:r>
            <w:t>22</w:t>
          </w:r>
          <w:r>
            <w:fldChar w:fldCharType="end"/>
          </w:r>
          <w:r>
            <w:fldChar w:fldCharType="end"/>
          </w:r>
        </w:p>
        <w:p w14:paraId="15AAF80E">
          <w:pPr>
            <w:pStyle w:val="22"/>
          </w:pPr>
          <w:r>
            <w:fldChar w:fldCharType="begin"/>
          </w:r>
          <w:r>
            <w:instrText xml:space="preserve"> HYPERLINK \l "_Toc11396" </w:instrText>
          </w:r>
          <w:r>
            <w:fldChar w:fldCharType="separate"/>
          </w:r>
          <w:r>
            <w:rPr>
              <w:rFonts w:hint="eastAsia"/>
            </w:rPr>
            <w:t>一、识别可持续发展相关风险和机遇对公司的影响</w:t>
          </w:r>
          <w:r>
            <w:tab/>
          </w:r>
          <w:r>
            <w:fldChar w:fldCharType="begin"/>
          </w:r>
          <w:r>
            <w:instrText xml:space="preserve"> PAGEREF _Toc11396 \h </w:instrText>
          </w:r>
          <w:r>
            <w:fldChar w:fldCharType="separate"/>
          </w:r>
          <w:r>
            <w:t>22</w:t>
          </w:r>
          <w:r>
            <w:fldChar w:fldCharType="end"/>
          </w:r>
          <w:r>
            <w:fldChar w:fldCharType="end"/>
          </w:r>
        </w:p>
        <w:p w14:paraId="7E094A4B">
          <w:pPr>
            <w:pStyle w:val="22"/>
          </w:pPr>
          <w:r>
            <w:fldChar w:fldCharType="begin"/>
          </w:r>
          <w:r>
            <w:instrText xml:space="preserve"> HYPERLINK \l "_Toc12288" </w:instrText>
          </w:r>
          <w:r>
            <w:fldChar w:fldCharType="separate"/>
          </w:r>
          <w:r>
            <w:rPr>
              <w:rFonts w:hint="eastAsia"/>
            </w:rPr>
            <w:t>二、制定应对“影响、风险和机遇”的策略、方法和规划</w:t>
          </w:r>
          <w:r>
            <w:tab/>
          </w:r>
          <w:r>
            <w:fldChar w:fldCharType="begin"/>
          </w:r>
          <w:r>
            <w:instrText xml:space="preserve"> PAGEREF _Toc12288 \h </w:instrText>
          </w:r>
          <w:r>
            <w:fldChar w:fldCharType="separate"/>
          </w:r>
          <w:r>
            <w:t>23</w:t>
          </w:r>
          <w:r>
            <w:fldChar w:fldCharType="end"/>
          </w:r>
          <w:r>
            <w:fldChar w:fldCharType="end"/>
          </w:r>
        </w:p>
        <w:p w14:paraId="76FD1882">
          <w:pPr>
            <w:pStyle w:val="22"/>
          </w:pPr>
          <w:r>
            <w:fldChar w:fldCharType="begin"/>
          </w:r>
          <w:r>
            <w:instrText xml:space="preserve"> HYPERLINK \l "_Toc21476" </w:instrText>
          </w:r>
          <w:r>
            <w:fldChar w:fldCharType="separate"/>
          </w:r>
          <w:r>
            <w:rPr>
              <w:rFonts w:hint="eastAsia"/>
            </w:rPr>
            <w:t>三、评估当期和预期财务影响</w:t>
          </w:r>
          <w:r>
            <w:tab/>
          </w:r>
          <w:r>
            <w:fldChar w:fldCharType="begin"/>
          </w:r>
          <w:r>
            <w:instrText xml:space="preserve"> PAGEREF _Toc21476 \h </w:instrText>
          </w:r>
          <w:r>
            <w:fldChar w:fldCharType="separate"/>
          </w:r>
          <w:r>
            <w:t>24</w:t>
          </w:r>
          <w:r>
            <w:fldChar w:fldCharType="end"/>
          </w:r>
          <w:r>
            <w:fldChar w:fldCharType="end"/>
          </w:r>
        </w:p>
        <w:p w14:paraId="4AB52ABA">
          <w:pPr>
            <w:pStyle w:val="22"/>
          </w:pPr>
          <w:r>
            <w:fldChar w:fldCharType="begin"/>
          </w:r>
          <w:r>
            <w:instrText xml:space="preserve"> HYPERLINK \l "_Toc12807" </w:instrText>
          </w:r>
          <w:r>
            <w:fldChar w:fldCharType="separate"/>
          </w:r>
          <w:r>
            <w:rPr>
              <w:rFonts w:hint="eastAsia"/>
            </w:rPr>
            <w:t>四、评估战略和业务模式对可持续相关风险的适应性</w:t>
          </w:r>
          <w:r>
            <w:tab/>
          </w:r>
          <w:r>
            <w:fldChar w:fldCharType="begin"/>
          </w:r>
          <w:r>
            <w:instrText xml:space="preserve"> PAGEREF _Toc12807 \h </w:instrText>
          </w:r>
          <w:r>
            <w:fldChar w:fldCharType="separate"/>
          </w:r>
          <w:r>
            <w:t>25</w:t>
          </w:r>
          <w:r>
            <w:fldChar w:fldCharType="end"/>
          </w:r>
          <w:r>
            <w:fldChar w:fldCharType="end"/>
          </w:r>
        </w:p>
        <w:p w14:paraId="7BE034BC">
          <w:pPr>
            <w:pStyle w:val="17"/>
          </w:pPr>
          <w:r>
            <w:fldChar w:fldCharType="begin"/>
          </w:r>
          <w:r>
            <w:instrText xml:space="preserve"> HYPERLINK \l "_Toc22986" </w:instrText>
          </w:r>
          <w:r>
            <w:fldChar w:fldCharType="separate"/>
          </w:r>
          <w:r>
            <w:rPr>
              <w:rFonts w:hint="eastAsia" w:eastAsia="黑体" w:cs="Times New Roman"/>
            </w:rPr>
            <w:t>第五章</w:t>
          </w:r>
          <w:r>
            <w:rPr>
              <w:rFonts w:eastAsia="黑体" w:cs="Times New Roman"/>
            </w:rPr>
            <w:t xml:space="preserve"> </w:t>
          </w:r>
          <w:r>
            <w:rPr>
              <w:rFonts w:hint="eastAsia" w:eastAsia="黑体" w:cs="Times New Roman"/>
            </w:rPr>
            <w:t>影响、风险和机遇管理</w:t>
          </w:r>
          <w:r>
            <w:tab/>
          </w:r>
          <w:r>
            <w:fldChar w:fldCharType="begin"/>
          </w:r>
          <w:r>
            <w:instrText xml:space="preserve"> PAGEREF _Toc22986 \h </w:instrText>
          </w:r>
          <w:r>
            <w:fldChar w:fldCharType="separate"/>
          </w:r>
          <w:r>
            <w:t>27</w:t>
          </w:r>
          <w:r>
            <w:fldChar w:fldCharType="end"/>
          </w:r>
          <w:r>
            <w:fldChar w:fldCharType="end"/>
          </w:r>
        </w:p>
        <w:p w14:paraId="19D63D88">
          <w:pPr>
            <w:pStyle w:val="22"/>
          </w:pPr>
          <w:r>
            <w:fldChar w:fldCharType="begin"/>
          </w:r>
          <w:r>
            <w:instrText xml:space="preserve"> HYPERLINK \l "_Toc24168" </w:instrText>
          </w:r>
          <w:r>
            <w:fldChar w:fldCharType="separate"/>
          </w:r>
          <w:r>
            <w:rPr>
              <w:rFonts w:hint="eastAsia"/>
            </w:rPr>
            <w:t>一、识别、评估“影响、风险和机遇”的流程</w:t>
          </w:r>
          <w:r>
            <w:tab/>
          </w:r>
          <w:r>
            <w:fldChar w:fldCharType="begin"/>
          </w:r>
          <w:r>
            <w:instrText xml:space="preserve"> PAGEREF _Toc24168 \h </w:instrText>
          </w:r>
          <w:r>
            <w:fldChar w:fldCharType="separate"/>
          </w:r>
          <w:r>
            <w:t>27</w:t>
          </w:r>
          <w:r>
            <w:fldChar w:fldCharType="end"/>
          </w:r>
          <w:r>
            <w:fldChar w:fldCharType="end"/>
          </w:r>
        </w:p>
        <w:p w14:paraId="75D293B5">
          <w:pPr>
            <w:pStyle w:val="22"/>
          </w:pPr>
          <w:r>
            <w:fldChar w:fldCharType="begin"/>
          </w:r>
          <w:r>
            <w:instrText xml:space="preserve"> HYPERLINK \l "_Toc21901" </w:instrText>
          </w:r>
          <w:r>
            <w:fldChar w:fldCharType="separate"/>
          </w:r>
          <w:r>
            <w:rPr>
              <w:rFonts w:hint="eastAsia"/>
            </w:rPr>
            <w:t>二、监测与管理“影响、风险和机遇”</w:t>
          </w:r>
          <w:r>
            <w:tab/>
          </w:r>
          <w:r>
            <w:fldChar w:fldCharType="begin"/>
          </w:r>
          <w:r>
            <w:instrText xml:space="preserve"> PAGEREF _Toc21901 \h </w:instrText>
          </w:r>
          <w:r>
            <w:fldChar w:fldCharType="separate"/>
          </w:r>
          <w:r>
            <w:t>27</w:t>
          </w:r>
          <w:r>
            <w:fldChar w:fldCharType="end"/>
          </w:r>
          <w:r>
            <w:fldChar w:fldCharType="end"/>
          </w:r>
        </w:p>
        <w:p w14:paraId="45276FCE">
          <w:pPr>
            <w:pStyle w:val="17"/>
          </w:pPr>
          <w:r>
            <w:fldChar w:fldCharType="begin"/>
          </w:r>
          <w:r>
            <w:instrText xml:space="preserve"> HYPERLINK \l "_Toc14103" </w:instrText>
          </w:r>
          <w:r>
            <w:fldChar w:fldCharType="separate"/>
          </w:r>
          <w:r>
            <w:rPr>
              <w:rFonts w:hint="eastAsia" w:eastAsia="黑体" w:cs="Times New Roman"/>
            </w:rPr>
            <w:t>第六章</w:t>
          </w:r>
          <w:r>
            <w:rPr>
              <w:rFonts w:eastAsia="黑体" w:cs="Times New Roman"/>
            </w:rPr>
            <w:t xml:space="preserve"> </w:t>
          </w:r>
          <w:r>
            <w:rPr>
              <w:rFonts w:hint="eastAsia" w:eastAsia="黑体" w:cs="Times New Roman"/>
            </w:rPr>
            <w:t>指标与目标</w:t>
          </w:r>
          <w:r>
            <w:tab/>
          </w:r>
          <w:r>
            <w:fldChar w:fldCharType="begin"/>
          </w:r>
          <w:r>
            <w:instrText xml:space="preserve"> PAGEREF _Toc14103 \h </w:instrText>
          </w:r>
          <w:r>
            <w:fldChar w:fldCharType="separate"/>
          </w:r>
          <w:r>
            <w:t>30</w:t>
          </w:r>
          <w:r>
            <w:fldChar w:fldCharType="end"/>
          </w:r>
          <w:r>
            <w:fldChar w:fldCharType="end"/>
          </w:r>
        </w:p>
        <w:p w14:paraId="0EEEC059">
          <w:pPr>
            <w:pStyle w:val="22"/>
          </w:pPr>
          <w:r>
            <w:fldChar w:fldCharType="begin"/>
          </w:r>
          <w:r>
            <w:instrText xml:space="preserve"> HYPERLINK \l "_Toc31674" </w:instrText>
          </w:r>
          <w:r>
            <w:fldChar w:fldCharType="separate"/>
          </w:r>
          <w:r>
            <w:rPr>
              <w:rFonts w:hint="eastAsia"/>
              <w:lang w:bidi="ar"/>
            </w:rPr>
            <w:t>一、设定和管理目标</w:t>
          </w:r>
          <w:r>
            <w:tab/>
          </w:r>
          <w:r>
            <w:fldChar w:fldCharType="begin"/>
          </w:r>
          <w:r>
            <w:instrText xml:space="preserve"> PAGEREF _Toc31674 \h </w:instrText>
          </w:r>
          <w:r>
            <w:fldChar w:fldCharType="separate"/>
          </w:r>
          <w:r>
            <w:t>30</w:t>
          </w:r>
          <w:r>
            <w:fldChar w:fldCharType="end"/>
          </w:r>
          <w:r>
            <w:fldChar w:fldCharType="end"/>
          </w:r>
        </w:p>
        <w:p w14:paraId="0FE07CF6">
          <w:pPr>
            <w:pStyle w:val="22"/>
          </w:pPr>
          <w:r>
            <w:fldChar w:fldCharType="begin"/>
          </w:r>
          <w:r>
            <w:instrText xml:space="preserve"> HYPERLINK \l "_Toc29026" </w:instrText>
          </w:r>
          <w:r>
            <w:fldChar w:fldCharType="separate"/>
          </w:r>
          <w:r>
            <w:rPr>
              <w:rFonts w:hint="eastAsia"/>
              <w:lang w:bidi="ar"/>
            </w:rPr>
            <w:t>二、设定和管理指标</w:t>
          </w:r>
          <w:r>
            <w:tab/>
          </w:r>
          <w:r>
            <w:fldChar w:fldCharType="begin"/>
          </w:r>
          <w:r>
            <w:instrText xml:space="preserve"> PAGEREF _Toc29026 \h </w:instrText>
          </w:r>
          <w:r>
            <w:fldChar w:fldCharType="separate"/>
          </w:r>
          <w:r>
            <w:t>31</w:t>
          </w:r>
          <w:r>
            <w:fldChar w:fldCharType="end"/>
          </w:r>
          <w:r>
            <w:fldChar w:fldCharType="end"/>
          </w:r>
        </w:p>
        <w:p w14:paraId="010ECBA4">
          <w:pPr>
            <w:pStyle w:val="17"/>
          </w:pPr>
          <w:r>
            <w:fldChar w:fldCharType="begin"/>
          </w:r>
          <w:r>
            <w:instrText xml:space="preserve"> HYPERLINK \l "_Toc125" </w:instrText>
          </w:r>
          <w:r>
            <w:fldChar w:fldCharType="separate"/>
          </w:r>
          <w:r>
            <w:rPr>
              <w:rFonts w:hint="eastAsia" w:eastAsia="黑体" w:cs="Times New Roman"/>
            </w:rPr>
            <w:t>第七章</w:t>
          </w:r>
          <w:r>
            <w:rPr>
              <w:rFonts w:eastAsia="黑体" w:cs="Times New Roman"/>
            </w:rPr>
            <w:t xml:space="preserve"> </w:t>
          </w:r>
          <w:r>
            <w:rPr>
              <w:rFonts w:hint="eastAsia" w:eastAsia="黑体" w:cs="Times New Roman"/>
            </w:rPr>
            <w:t>报告披露</w:t>
          </w:r>
          <w:r>
            <w:tab/>
          </w:r>
          <w:r>
            <w:fldChar w:fldCharType="begin"/>
          </w:r>
          <w:r>
            <w:instrText xml:space="preserve"> PAGEREF _Toc125 \h </w:instrText>
          </w:r>
          <w:r>
            <w:fldChar w:fldCharType="separate"/>
          </w:r>
          <w:r>
            <w:t>34</w:t>
          </w:r>
          <w:r>
            <w:fldChar w:fldCharType="end"/>
          </w:r>
          <w:r>
            <w:fldChar w:fldCharType="end"/>
          </w:r>
        </w:p>
        <w:p w14:paraId="4A259E6F">
          <w:pPr>
            <w:spacing w:line="360" w:lineRule="auto"/>
            <w:ind w:firstLine="482"/>
            <w:rPr>
              <w:rFonts w:ascii="Times New Roman" w:hAnsi="Times New Roman" w:eastAsia="宋体" w:cs="Times New Roman"/>
              <w:b/>
              <w:sz w:val="21"/>
              <w:szCs w:val="24"/>
            </w:rPr>
          </w:pPr>
          <w:r>
            <w:rPr>
              <w:rFonts w:ascii="黑体" w:hAnsi="黑体" w:eastAsia="黑体" w:cs="Times New Roman"/>
              <w:b/>
              <w:bCs/>
              <w:sz w:val="20"/>
              <w:szCs w:val="20"/>
              <w:lang w:val="zh-CN"/>
            </w:rPr>
            <w:fldChar w:fldCharType="end"/>
          </w:r>
        </w:p>
      </w:sdtContent>
    </w:sdt>
    <w:p w14:paraId="1D07DDE5">
      <w:pPr>
        <w:widowControl/>
        <w:spacing w:line="560" w:lineRule="exact"/>
        <w:ind w:firstLine="750" w:firstLineChars="250"/>
        <w:rPr>
          <w:rFonts w:ascii="仿宋_GB2312" w:hAnsi="Times New Roman" w:cs="Times New Roman"/>
          <w:szCs w:val="30"/>
          <w:lang w:bidi="ar"/>
        </w:rPr>
        <w:sectPr>
          <w:footerReference r:id="rId3" w:type="default"/>
          <w:footerReference r:id="rId4" w:type="even"/>
          <w:pgSz w:w="11906" w:h="16838"/>
          <w:pgMar w:top="1440" w:right="1800" w:bottom="1440" w:left="1800" w:header="851" w:footer="992" w:gutter="0"/>
          <w:pgNumType w:start="1"/>
          <w:cols w:space="720" w:num="1"/>
          <w:docGrid w:type="lines" w:linePitch="312" w:charSpace="0"/>
        </w:sectPr>
      </w:pPr>
    </w:p>
    <w:p w14:paraId="3CEDF49C">
      <w:pPr>
        <w:widowControl/>
        <w:spacing w:line="550" w:lineRule="exact"/>
        <w:ind w:firstLine="750" w:firstLineChars="250"/>
        <w:rPr>
          <w:rFonts w:ascii="Times New Roman" w:hAnsi="Times New Roman" w:eastAsia="宋体" w:cs="Times New Roman"/>
          <w:sz w:val="21"/>
          <w:szCs w:val="24"/>
          <w:lang w:bidi="ar"/>
        </w:rPr>
      </w:pPr>
      <w:r>
        <w:rPr>
          <w:rFonts w:ascii="Times New Roman" w:hAnsi="Times New Roman" w:cs="Times New Roman"/>
          <w:szCs w:val="30"/>
          <w:lang w:bidi="ar"/>
        </w:rPr>
        <w:t>为帮助上市公司准确理解适用《上海证券交易所上市公司自律监管指引第14号——可持续发展报告（试行）》（以下简称《指引》）相关规定，规范编制可持续发展报告，上海证券交易所（以下简称本所）制定了《上海证券交易所上市公司自律监管指南第4号——可持续发展报告编制》之《第一号 总体要求与披露框架》（以下简称本指南）。</w:t>
      </w:r>
      <w:bookmarkStart w:id="22" w:name="_Toc16645"/>
      <w:bookmarkStart w:id="23" w:name="_Toc180164924"/>
      <w:bookmarkStart w:id="24" w:name="_Toc29901"/>
      <w:bookmarkStart w:id="25" w:name="_Toc8486"/>
      <w:bookmarkStart w:id="26" w:name="_Toc29212"/>
      <w:bookmarkStart w:id="27" w:name="_Hlk179859083"/>
    </w:p>
    <w:p w14:paraId="078500B4">
      <w:pPr>
        <w:spacing w:before="156" w:beforeLines="50" w:line="550" w:lineRule="exact"/>
        <w:jc w:val="center"/>
        <w:outlineLvl w:val="0"/>
        <w:rPr>
          <w:rFonts w:ascii="Times New Roman" w:hAnsi="Times New Roman" w:eastAsia="黑体" w:cs="Times New Roman"/>
          <w:b/>
          <w:bCs/>
          <w:szCs w:val="30"/>
        </w:rPr>
      </w:pPr>
      <w:bookmarkStart w:id="28" w:name="_Toc187328609"/>
      <w:bookmarkStart w:id="29" w:name="_Toc20813"/>
      <w:bookmarkStart w:id="30" w:name="_Toc18830"/>
      <w:bookmarkStart w:id="31" w:name="_Toc26377"/>
      <w:bookmarkStart w:id="32" w:name="_Toc181730938"/>
      <w:bookmarkStart w:id="33" w:name="_Toc15033"/>
      <w:r>
        <w:rPr>
          <w:rFonts w:hint="eastAsia" w:ascii="Times New Roman" w:hAnsi="Times New Roman" w:eastAsia="黑体" w:cs="Times New Roman"/>
          <w:b/>
          <w:bCs/>
          <w:szCs w:val="30"/>
        </w:rPr>
        <w:t>第一章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总体要求</w:t>
      </w:r>
      <w:bookmarkEnd w:id="22"/>
      <w:bookmarkEnd w:id="23"/>
      <w:bookmarkEnd w:id="24"/>
      <w:bookmarkEnd w:id="25"/>
      <w:bookmarkEnd w:id="26"/>
      <w:bookmarkEnd w:id="28"/>
      <w:bookmarkEnd w:id="29"/>
      <w:bookmarkEnd w:id="30"/>
      <w:bookmarkEnd w:id="31"/>
      <w:bookmarkEnd w:id="32"/>
      <w:bookmarkEnd w:id="33"/>
    </w:p>
    <w:p w14:paraId="7D440A98">
      <w:pPr>
        <w:widowControl/>
        <w:adjustRightInd w:val="0"/>
        <w:snapToGrid w:val="0"/>
        <w:spacing w:line="550" w:lineRule="exact"/>
        <w:ind w:firstLine="600" w:firstLineChars="200"/>
        <w:jc w:val="left"/>
        <w:outlineLvl w:val="1"/>
        <w:rPr>
          <w:rFonts w:ascii="Times New Roman" w:hAnsi="Times New Roman" w:eastAsia="黑体" w:cs="Times New Roman"/>
          <w:szCs w:val="30"/>
          <w:lang w:bidi="ar"/>
        </w:rPr>
      </w:pPr>
      <w:bookmarkStart w:id="34" w:name="_Toc21590"/>
      <w:bookmarkStart w:id="35" w:name="_Toc13358"/>
      <w:bookmarkStart w:id="36" w:name="_Toc21830"/>
      <w:bookmarkStart w:id="37" w:name="_Toc13631"/>
      <w:bookmarkStart w:id="38" w:name="_Toc11345"/>
      <w:bookmarkStart w:id="39" w:name="_Toc180165191"/>
      <w:bookmarkStart w:id="40" w:name="_Toc181730939"/>
      <w:bookmarkStart w:id="41" w:name="_Toc23284"/>
      <w:bookmarkStart w:id="42" w:name="_Toc9743"/>
      <w:bookmarkStart w:id="43" w:name="_Toc187328610"/>
      <w:bookmarkStart w:id="44" w:name="_Toc180164928"/>
      <w:bookmarkStart w:id="45" w:name="_Toc18610"/>
      <w:bookmarkStart w:id="46" w:name="_Toc2030"/>
      <w:r>
        <w:rPr>
          <w:rFonts w:hint="eastAsia" w:ascii="Times New Roman" w:hAnsi="Times New Roman" w:eastAsia="黑体" w:cs="Times New Roman"/>
          <w:szCs w:val="30"/>
          <w:lang w:bidi="ar"/>
        </w:rPr>
        <w:t>一、报告披露主体</w:t>
      </w:r>
      <w:bookmarkEnd w:id="34"/>
      <w:bookmarkEnd w:id="35"/>
      <w:bookmarkEnd w:id="36"/>
      <w:bookmarkEnd w:id="37"/>
      <w:bookmarkEnd w:id="38"/>
      <w:bookmarkEnd w:id="39"/>
      <w:bookmarkEnd w:id="40"/>
      <w:bookmarkEnd w:id="41"/>
      <w:bookmarkEnd w:id="42"/>
      <w:bookmarkEnd w:id="43"/>
      <w:bookmarkEnd w:id="44"/>
      <w:bookmarkEnd w:id="45"/>
      <w:bookmarkEnd w:id="46"/>
    </w:p>
    <w:p w14:paraId="3189884E">
      <w:pPr>
        <w:widowControl/>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披露主体包括强制披露主体和自愿披露主体。</w:t>
      </w:r>
    </w:p>
    <w:p w14:paraId="26333B67">
      <w:pPr>
        <w:widowControl/>
        <w:numPr>
          <w:ilvl w:val="255"/>
          <w:numId w:val="0"/>
        </w:numPr>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强制披露主体是指根据《指引》的规定，应当披露《可持续发展报告》的上证</w:t>
      </w:r>
      <w:r>
        <w:rPr>
          <w:rFonts w:ascii="Times New Roman" w:hAnsi="Times New Roman" w:cs="Times New Roman"/>
          <w:szCs w:val="30"/>
          <w:lang w:bidi="ar"/>
        </w:rPr>
        <w:t>180</w:t>
      </w:r>
      <w:r>
        <w:rPr>
          <w:rFonts w:hint="eastAsia" w:ascii="Times New Roman" w:hAnsi="Times New Roman" w:cs="Times New Roman"/>
          <w:szCs w:val="30"/>
          <w:lang w:bidi="ar"/>
        </w:rPr>
        <w:t>指数、科创</w:t>
      </w:r>
      <w:r>
        <w:rPr>
          <w:rFonts w:ascii="Times New Roman" w:hAnsi="Times New Roman" w:cs="Times New Roman"/>
          <w:szCs w:val="30"/>
          <w:lang w:bidi="ar"/>
        </w:rPr>
        <w:t>50</w:t>
      </w:r>
      <w:r>
        <w:rPr>
          <w:rFonts w:hint="eastAsia" w:ascii="Times New Roman" w:hAnsi="Times New Roman" w:cs="Times New Roman"/>
          <w:szCs w:val="30"/>
          <w:lang w:bidi="ar"/>
        </w:rPr>
        <w:t>指数样本公司以及境内外同时上市的公司。自愿披露主体是指自愿披露《可持续发展报告》的上市公司。</w:t>
      </w:r>
    </w:p>
    <w:p w14:paraId="798455A8">
      <w:pPr>
        <w:widowControl/>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前述所称指数样本公司是指在整个报告期内持续被纳入相关指数的公司。境内外同时上市公司是指在境内发行</w:t>
      </w:r>
      <w:r>
        <w:rPr>
          <w:rFonts w:ascii="Times New Roman" w:hAnsi="Times New Roman" w:cs="Times New Roman"/>
          <w:szCs w:val="30"/>
          <w:lang w:bidi="ar"/>
        </w:rPr>
        <w:t>A</w:t>
      </w:r>
      <w:r>
        <w:rPr>
          <w:rFonts w:hint="eastAsia" w:ascii="Times New Roman" w:hAnsi="Times New Roman" w:cs="Times New Roman"/>
          <w:szCs w:val="30"/>
          <w:lang w:bidi="ar"/>
        </w:rPr>
        <w:t>股或</w:t>
      </w:r>
      <w:r>
        <w:rPr>
          <w:rFonts w:ascii="Times New Roman" w:hAnsi="Times New Roman" w:cs="Times New Roman"/>
          <w:szCs w:val="30"/>
          <w:lang w:bidi="ar"/>
        </w:rPr>
        <w:t>B</w:t>
      </w:r>
      <w:r>
        <w:rPr>
          <w:rFonts w:hint="eastAsia" w:ascii="Times New Roman" w:hAnsi="Times New Roman" w:cs="Times New Roman"/>
          <w:szCs w:val="30"/>
          <w:lang w:bidi="ar"/>
        </w:rPr>
        <w:t>股，同时在境外发行</w:t>
      </w:r>
      <w:r>
        <w:rPr>
          <w:rFonts w:ascii="Times New Roman" w:hAnsi="Times New Roman" w:cs="Times New Roman"/>
          <w:szCs w:val="30"/>
          <w:lang w:bidi="ar"/>
        </w:rPr>
        <w:t>H</w:t>
      </w:r>
      <w:r>
        <w:rPr>
          <w:rFonts w:hint="eastAsia" w:ascii="Times New Roman" w:hAnsi="Times New Roman" w:cs="Times New Roman"/>
          <w:szCs w:val="30"/>
          <w:lang w:bidi="ar"/>
        </w:rPr>
        <w:t>股、</w:t>
      </w:r>
      <w:r>
        <w:rPr>
          <w:rFonts w:ascii="Times New Roman" w:hAnsi="Times New Roman" w:cs="Times New Roman"/>
          <w:szCs w:val="30"/>
          <w:lang w:bidi="ar"/>
        </w:rPr>
        <w:t>D</w:t>
      </w:r>
      <w:r>
        <w:rPr>
          <w:rFonts w:hint="eastAsia" w:ascii="Times New Roman" w:hAnsi="Times New Roman" w:cs="Times New Roman"/>
          <w:szCs w:val="30"/>
          <w:lang w:bidi="ar"/>
        </w:rPr>
        <w:t>股等境外股本以及存托凭证（</w:t>
      </w:r>
      <w:r>
        <w:rPr>
          <w:rFonts w:ascii="Times New Roman" w:hAnsi="Times New Roman" w:cs="Times New Roman"/>
          <w:szCs w:val="30"/>
          <w:lang w:bidi="ar"/>
        </w:rPr>
        <w:t>GDR</w:t>
      </w:r>
      <w:r>
        <w:rPr>
          <w:rFonts w:hint="eastAsia" w:ascii="Times New Roman" w:hAnsi="Times New Roman" w:cs="Times New Roman"/>
          <w:szCs w:val="30"/>
          <w:lang w:bidi="ar"/>
        </w:rPr>
        <w:t>）的上市公司。</w:t>
      </w:r>
    </w:p>
    <w:p w14:paraId="261085C4">
      <w:pPr>
        <w:widowControl/>
        <w:numPr>
          <w:ilvl w:val="255"/>
          <w:numId w:val="0"/>
        </w:numPr>
        <w:adjustRightInd w:val="0"/>
        <w:snapToGrid w:val="0"/>
        <w:spacing w:line="550" w:lineRule="exact"/>
        <w:ind w:firstLine="600" w:firstLineChars="200"/>
        <w:jc w:val="left"/>
        <w:outlineLvl w:val="1"/>
        <w:rPr>
          <w:rFonts w:ascii="Times New Roman" w:hAnsi="Times New Roman" w:eastAsia="黑体" w:cs="Times New Roman"/>
          <w:szCs w:val="30"/>
          <w:lang w:bidi="ar"/>
        </w:rPr>
      </w:pPr>
      <w:bookmarkStart w:id="47" w:name="_Toc26350"/>
      <w:bookmarkStart w:id="48" w:name="_Toc21568"/>
      <w:bookmarkStart w:id="49" w:name="_Toc17601"/>
      <w:bookmarkStart w:id="50" w:name="_Toc25266"/>
      <w:bookmarkStart w:id="51" w:name="_Toc14182"/>
      <w:bookmarkStart w:id="52" w:name="_Toc29088"/>
      <w:bookmarkStart w:id="53" w:name="_Toc30128"/>
      <w:bookmarkStart w:id="54" w:name="_Toc180165192"/>
      <w:bookmarkStart w:id="55" w:name="_Toc181730940"/>
      <w:bookmarkStart w:id="56" w:name="_Toc24407"/>
      <w:bookmarkStart w:id="57" w:name="_Toc24351"/>
      <w:bookmarkStart w:id="58" w:name="_Toc187328611"/>
      <w:bookmarkStart w:id="59" w:name="_Toc180164929"/>
      <w:r>
        <w:rPr>
          <w:rFonts w:hint="eastAsia" w:ascii="Times New Roman" w:hAnsi="Times New Roman" w:eastAsia="黑体" w:cs="Times New Roman"/>
          <w:szCs w:val="30"/>
          <w:lang w:bidi="ar"/>
        </w:rPr>
        <w:t>二、报告范围</w:t>
      </w:r>
      <w:bookmarkEnd w:id="47"/>
      <w:bookmarkEnd w:id="48"/>
      <w:bookmarkEnd w:id="49"/>
      <w:bookmarkEnd w:id="50"/>
      <w:bookmarkEnd w:id="51"/>
      <w:bookmarkEnd w:id="52"/>
      <w:bookmarkEnd w:id="53"/>
      <w:bookmarkEnd w:id="54"/>
      <w:bookmarkEnd w:id="55"/>
      <w:bookmarkEnd w:id="56"/>
      <w:bookmarkEnd w:id="57"/>
      <w:bookmarkEnd w:id="58"/>
      <w:bookmarkEnd w:id="59"/>
    </w:p>
    <w:p w14:paraId="09CEB0BC">
      <w:pPr>
        <w:widowControl/>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《可持续发展报告》的报告范围与公司年度财务报告合并报表范围保持一致。</w:t>
      </w:r>
    </w:p>
    <w:p w14:paraId="6D964007">
      <w:pPr>
        <w:widowControl/>
        <w:numPr>
          <w:ilvl w:val="255"/>
          <w:numId w:val="0"/>
        </w:numPr>
        <w:adjustRightInd w:val="0"/>
        <w:snapToGrid w:val="0"/>
        <w:spacing w:line="550" w:lineRule="exact"/>
        <w:ind w:firstLine="600" w:firstLineChars="200"/>
        <w:jc w:val="left"/>
        <w:outlineLvl w:val="1"/>
        <w:rPr>
          <w:rFonts w:ascii="Times New Roman" w:hAnsi="Times New Roman" w:eastAsia="黑体" w:cs="Times New Roman"/>
          <w:szCs w:val="30"/>
          <w:lang w:bidi="ar"/>
        </w:rPr>
      </w:pPr>
      <w:bookmarkStart w:id="60" w:name="_Toc180165193"/>
      <w:bookmarkStart w:id="61" w:name="_Toc187328612"/>
      <w:bookmarkStart w:id="62" w:name="_Toc5297"/>
      <w:bookmarkStart w:id="63" w:name="_Toc19083"/>
      <w:bookmarkStart w:id="64" w:name="_Toc27943"/>
      <w:bookmarkStart w:id="65" w:name="_Toc180164930"/>
      <w:bookmarkStart w:id="66" w:name="_Toc31320"/>
      <w:bookmarkStart w:id="67" w:name="_Toc12551"/>
      <w:bookmarkStart w:id="68" w:name="_Toc28929"/>
      <w:bookmarkStart w:id="69" w:name="_Toc16026"/>
      <w:bookmarkStart w:id="70" w:name="_Toc181730941"/>
      <w:bookmarkStart w:id="71" w:name="_Toc6631"/>
      <w:bookmarkStart w:id="72" w:name="_Toc32537"/>
      <w:r>
        <w:rPr>
          <w:rFonts w:hint="eastAsia" w:ascii="Times New Roman" w:hAnsi="Times New Roman" w:eastAsia="黑体" w:cs="Times New Roman"/>
          <w:szCs w:val="30"/>
          <w:lang w:bidi="ar"/>
        </w:rPr>
        <w:t>三、报告期间</w:t>
      </w:r>
      <w:bookmarkEnd w:id="60"/>
      <w:bookmarkEnd w:id="61"/>
      <w:bookmarkEnd w:id="62"/>
      <w:bookmarkEnd w:id="63"/>
      <w:bookmarkEnd w:id="64"/>
      <w:bookmarkEnd w:id="65"/>
      <w:bookmarkEnd w:id="66"/>
      <w:bookmarkEnd w:id="67"/>
      <w:bookmarkEnd w:id="68"/>
      <w:bookmarkEnd w:id="69"/>
      <w:bookmarkEnd w:id="70"/>
      <w:bookmarkEnd w:id="71"/>
      <w:bookmarkEnd w:id="72"/>
    </w:p>
    <w:p w14:paraId="3FB458A5">
      <w:pPr>
        <w:widowControl/>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《可持续发展报告》的报告期间与年度报告保持一致，覆盖一个完整的会计年度。</w:t>
      </w:r>
    </w:p>
    <w:p w14:paraId="72883228">
      <w:pPr>
        <w:widowControl/>
        <w:numPr>
          <w:ilvl w:val="255"/>
          <w:numId w:val="0"/>
        </w:numPr>
        <w:adjustRightInd w:val="0"/>
        <w:snapToGrid w:val="0"/>
        <w:spacing w:line="550" w:lineRule="exact"/>
        <w:ind w:firstLine="600" w:firstLineChars="200"/>
        <w:jc w:val="left"/>
        <w:outlineLvl w:val="1"/>
        <w:rPr>
          <w:rFonts w:ascii="Times New Roman" w:hAnsi="Times New Roman" w:eastAsia="黑体" w:cs="Times New Roman"/>
          <w:szCs w:val="30"/>
          <w:lang w:bidi="ar"/>
        </w:rPr>
      </w:pPr>
      <w:bookmarkStart w:id="73" w:name="_Toc181730942"/>
      <w:bookmarkStart w:id="74" w:name="_Toc16420"/>
      <w:bookmarkStart w:id="75" w:name="_Toc3156"/>
      <w:bookmarkStart w:id="76" w:name="_Toc180165194"/>
      <w:bookmarkStart w:id="77" w:name="_Toc19705"/>
      <w:bookmarkStart w:id="78" w:name="_Toc18570"/>
      <w:bookmarkStart w:id="79" w:name="_Toc1441"/>
      <w:bookmarkStart w:id="80" w:name="_Toc180164931"/>
      <w:bookmarkStart w:id="81" w:name="_Toc15736"/>
      <w:bookmarkStart w:id="82" w:name="_Toc11750"/>
      <w:bookmarkStart w:id="83" w:name="_Toc4299"/>
      <w:bookmarkStart w:id="84" w:name="_Toc187328613"/>
      <w:bookmarkStart w:id="85" w:name="_Toc11344"/>
      <w:r>
        <w:rPr>
          <w:rFonts w:hint="eastAsia" w:ascii="Times New Roman" w:hAnsi="Times New Roman" w:eastAsia="黑体" w:cs="Times New Roman"/>
          <w:szCs w:val="30"/>
          <w:lang w:bidi="ar"/>
        </w:rPr>
        <w:t>四、报告发布时间</w:t>
      </w:r>
      <w:bookmarkEnd w:id="73"/>
      <w:bookmarkEnd w:id="74"/>
      <w:bookmarkEnd w:id="75"/>
      <w:bookmarkEnd w:id="76"/>
      <w:bookmarkEnd w:id="77"/>
      <w:bookmarkEnd w:id="78"/>
      <w:bookmarkEnd w:id="79"/>
      <w:bookmarkEnd w:id="80"/>
      <w:bookmarkEnd w:id="81"/>
      <w:bookmarkEnd w:id="82"/>
      <w:bookmarkEnd w:id="83"/>
      <w:bookmarkEnd w:id="84"/>
      <w:bookmarkEnd w:id="85"/>
    </w:p>
    <w:p w14:paraId="7534B56B">
      <w:pPr>
        <w:widowControl/>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披露主体应当在每个会计年度结束后</w:t>
      </w:r>
      <w:r>
        <w:rPr>
          <w:rFonts w:ascii="Times New Roman" w:hAnsi="Times New Roman" w:cs="Times New Roman"/>
          <w:szCs w:val="30"/>
          <w:lang w:bidi="ar"/>
        </w:rPr>
        <w:t>4</w:t>
      </w:r>
      <w:r>
        <w:rPr>
          <w:rFonts w:hint="eastAsia" w:ascii="Times New Roman" w:hAnsi="Times New Roman" w:cs="Times New Roman"/>
          <w:szCs w:val="30"/>
          <w:lang w:bidi="ar"/>
        </w:rPr>
        <w:t>个月内按照《指引》规定编制并披露《可持续发展报告》，披露时间应当不早于年度报告。</w:t>
      </w:r>
    </w:p>
    <w:p w14:paraId="31E30EBB">
      <w:pPr>
        <w:widowControl/>
        <w:numPr>
          <w:ilvl w:val="255"/>
          <w:numId w:val="0"/>
        </w:numPr>
        <w:adjustRightInd w:val="0"/>
        <w:snapToGrid w:val="0"/>
        <w:spacing w:line="550" w:lineRule="exact"/>
        <w:ind w:firstLine="600" w:firstLineChars="200"/>
        <w:jc w:val="left"/>
        <w:outlineLvl w:val="1"/>
        <w:rPr>
          <w:rFonts w:ascii="Times New Roman" w:hAnsi="Times New Roman" w:eastAsia="黑体" w:cs="Times New Roman"/>
          <w:szCs w:val="30"/>
          <w:lang w:bidi="ar"/>
        </w:rPr>
      </w:pPr>
      <w:bookmarkStart w:id="86" w:name="_Toc30959"/>
      <w:bookmarkStart w:id="87" w:name="_Toc9095"/>
      <w:bookmarkStart w:id="88" w:name="_Toc12716"/>
      <w:bookmarkStart w:id="89" w:name="_Toc4467"/>
      <w:bookmarkStart w:id="90" w:name="_Toc18616"/>
      <w:bookmarkStart w:id="91" w:name="_Toc10632"/>
      <w:bookmarkStart w:id="92" w:name="_Toc2326"/>
      <w:bookmarkStart w:id="93" w:name="_Toc181730943"/>
      <w:bookmarkStart w:id="94" w:name="_Toc180164932"/>
      <w:bookmarkStart w:id="95" w:name="_Toc22552"/>
      <w:bookmarkStart w:id="96" w:name="_Toc187328614"/>
      <w:bookmarkStart w:id="97" w:name="_Toc180165195"/>
      <w:bookmarkStart w:id="98" w:name="_Toc20584"/>
      <w:r>
        <w:rPr>
          <w:rFonts w:hint="eastAsia" w:ascii="Times New Roman" w:hAnsi="Times New Roman" w:eastAsia="黑体" w:cs="Times New Roman"/>
          <w:szCs w:val="30"/>
          <w:lang w:bidi="ar"/>
        </w:rPr>
        <w:t>五、</w:t>
      </w:r>
      <w:r>
        <w:rPr>
          <w:rFonts w:ascii="Times New Roman" w:hAnsi="Times New Roman" w:eastAsia="黑体" w:cs="Times New Roman"/>
          <w:szCs w:val="30"/>
          <w:lang w:bidi="ar"/>
        </w:rPr>
        <w:t>报告名称和发布方式</w:t>
      </w:r>
      <w:bookmarkEnd w:id="86"/>
      <w:bookmarkEnd w:id="87"/>
      <w:bookmarkEnd w:id="88"/>
      <w:bookmarkEnd w:id="89"/>
      <w:bookmarkEnd w:id="90"/>
      <w:bookmarkEnd w:id="91"/>
      <w:bookmarkEnd w:id="92"/>
      <w:bookmarkEnd w:id="93"/>
      <w:bookmarkEnd w:id="94"/>
      <w:bookmarkEnd w:id="95"/>
      <w:bookmarkEnd w:id="96"/>
      <w:bookmarkEnd w:id="97"/>
      <w:bookmarkEnd w:id="98"/>
    </w:p>
    <w:p w14:paraId="7D622DF3">
      <w:pPr>
        <w:widowControl/>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报告名称应当为《××公司可持续发展报告》或者《××公司环境、社会和公司治理报告》（统称《可持续发展报告》），或者包含“可持续发展报告”“环境、社会和公司治理报告”表述。</w:t>
      </w:r>
    </w:p>
    <w:p w14:paraId="1CC5CEF5">
      <w:pPr>
        <w:widowControl/>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披露主体已经按照《指引》的规定披露《可持续发展报告》的，可以不再按照《上海证券交易所上市公司自律监管指引第</w:t>
      </w:r>
      <w:r>
        <w:rPr>
          <w:rFonts w:ascii="Times New Roman" w:hAnsi="Times New Roman" w:cs="Times New Roman"/>
          <w:szCs w:val="30"/>
          <w:lang w:bidi="ar"/>
        </w:rPr>
        <w:t>1</w:t>
      </w:r>
      <w:r>
        <w:rPr>
          <w:rFonts w:hint="eastAsia" w:ascii="Times New Roman" w:hAnsi="Times New Roman" w:cs="Times New Roman"/>
          <w:szCs w:val="30"/>
          <w:lang w:bidi="ar"/>
        </w:rPr>
        <w:t>号——规范运作》第</w:t>
      </w:r>
      <w:r>
        <w:rPr>
          <w:rFonts w:ascii="Times New Roman" w:hAnsi="Times New Roman" w:cs="Times New Roman"/>
          <w:szCs w:val="30"/>
          <w:lang w:bidi="ar"/>
        </w:rPr>
        <w:t>8.5</w:t>
      </w:r>
      <w:r>
        <w:rPr>
          <w:rFonts w:hint="eastAsia" w:ascii="Times New Roman" w:hAnsi="Times New Roman" w:cs="Times New Roman"/>
          <w:szCs w:val="30"/>
          <w:lang w:bidi="ar"/>
        </w:rPr>
        <w:t>条的规定披露当年度社会责任报告。</w:t>
      </w:r>
    </w:p>
    <w:p w14:paraId="6680D616">
      <w:pPr>
        <w:widowControl/>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《可持续发展报告》应当以独立报告形式发布。</w:t>
      </w:r>
    </w:p>
    <w:p w14:paraId="6B012052">
      <w:pPr>
        <w:widowControl/>
        <w:numPr>
          <w:ilvl w:val="255"/>
          <w:numId w:val="0"/>
        </w:numPr>
        <w:adjustRightInd w:val="0"/>
        <w:snapToGrid w:val="0"/>
        <w:spacing w:line="550" w:lineRule="exact"/>
        <w:ind w:firstLine="600" w:firstLineChars="200"/>
        <w:outlineLvl w:val="1"/>
        <w:rPr>
          <w:rFonts w:ascii="Times New Roman" w:hAnsi="Times New Roman" w:eastAsia="黑体" w:cs="Times New Roman"/>
          <w:szCs w:val="30"/>
          <w:lang w:bidi="ar"/>
        </w:rPr>
      </w:pPr>
      <w:bookmarkStart w:id="99" w:name="_Toc9137"/>
      <w:bookmarkStart w:id="100" w:name="_Toc23217"/>
      <w:bookmarkStart w:id="101" w:name="_Toc10053"/>
      <w:bookmarkStart w:id="102" w:name="_Toc21854"/>
      <w:bookmarkStart w:id="103" w:name="_Toc180165197"/>
      <w:bookmarkStart w:id="104" w:name="_Toc13915"/>
      <w:bookmarkStart w:id="105" w:name="_Toc181730944"/>
      <w:bookmarkStart w:id="106" w:name="_Toc187328615"/>
      <w:bookmarkStart w:id="107" w:name="_Toc180164934"/>
      <w:bookmarkStart w:id="108" w:name="_Toc30655"/>
      <w:bookmarkStart w:id="109" w:name="_Toc25162"/>
      <w:bookmarkStart w:id="110" w:name="_Toc7168"/>
      <w:bookmarkStart w:id="111" w:name="_Toc5747"/>
      <w:r>
        <w:rPr>
          <w:rFonts w:hint="eastAsia" w:ascii="Times New Roman" w:hAnsi="Times New Roman" w:eastAsia="黑体" w:cs="Times New Roman"/>
          <w:szCs w:val="30"/>
          <w:lang w:bidi="ar"/>
        </w:rPr>
        <w:t>六、审议</w:t>
      </w:r>
      <w:bookmarkEnd w:id="99"/>
      <w:bookmarkEnd w:id="100"/>
      <w:bookmarkEnd w:id="101"/>
      <w:r>
        <w:rPr>
          <w:rFonts w:hint="eastAsia" w:ascii="Times New Roman" w:hAnsi="Times New Roman" w:eastAsia="黑体" w:cs="Times New Roman"/>
          <w:szCs w:val="30"/>
          <w:lang w:bidi="ar"/>
        </w:rPr>
        <w:t>程序</w:t>
      </w:r>
      <w:bookmarkEnd w:id="102"/>
      <w:bookmarkEnd w:id="103"/>
      <w:bookmarkEnd w:id="104"/>
      <w:bookmarkEnd w:id="105"/>
      <w:bookmarkEnd w:id="106"/>
      <w:bookmarkEnd w:id="107"/>
      <w:bookmarkEnd w:id="108"/>
      <w:bookmarkEnd w:id="109"/>
      <w:bookmarkEnd w:id="110"/>
      <w:bookmarkEnd w:id="111"/>
    </w:p>
    <w:p w14:paraId="358F6F5A">
      <w:pPr>
        <w:widowControl/>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《可持续发展报告》应当经董事会审议通过后方可披露；上市公司章程对审议程序有更为严格规定的，从其规定。</w:t>
      </w:r>
    </w:p>
    <w:p w14:paraId="3834210A">
      <w:pPr>
        <w:widowControl/>
        <w:numPr>
          <w:ilvl w:val="255"/>
          <w:numId w:val="0"/>
        </w:numPr>
        <w:adjustRightInd w:val="0"/>
        <w:snapToGrid w:val="0"/>
        <w:spacing w:line="550" w:lineRule="exact"/>
        <w:ind w:firstLine="600" w:firstLineChars="200"/>
        <w:outlineLvl w:val="1"/>
        <w:rPr>
          <w:rFonts w:ascii="Times New Roman" w:hAnsi="Times New Roman" w:eastAsia="黑体" w:cs="Times New Roman"/>
          <w:szCs w:val="30"/>
          <w:lang w:bidi="ar"/>
        </w:rPr>
      </w:pPr>
      <w:bookmarkStart w:id="112" w:name="_Toc22193"/>
      <w:bookmarkStart w:id="113" w:name="_Toc181730945"/>
      <w:bookmarkStart w:id="114" w:name="_Toc28072"/>
      <w:bookmarkStart w:id="115" w:name="_Toc187328616"/>
      <w:bookmarkStart w:id="116" w:name="_Toc5665"/>
      <w:bookmarkStart w:id="117" w:name="_Toc14230"/>
      <w:bookmarkStart w:id="118" w:name="_Toc13369"/>
      <w:bookmarkStart w:id="119" w:name="_Toc180164935"/>
      <w:bookmarkStart w:id="120" w:name="_Toc1791"/>
      <w:bookmarkStart w:id="121" w:name="_Toc11833"/>
      <w:bookmarkStart w:id="122" w:name="_Toc14365"/>
      <w:bookmarkStart w:id="123" w:name="_Toc10689"/>
      <w:bookmarkStart w:id="124" w:name="_Toc180165198"/>
      <w:r>
        <w:rPr>
          <w:rFonts w:hint="eastAsia" w:ascii="Times New Roman" w:hAnsi="Times New Roman" w:eastAsia="黑体" w:cs="Times New Roman"/>
          <w:szCs w:val="30"/>
          <w:lang w:bidi="ar"/>
        </w:rPr>
        <w:t>七、议题设置</w:t>
      </w:r>
      <w:bookmarkEnd w:id="112"/>
      <w:bookmarkEnd w:id="113"/>
      <w:bookmarkEnd w:id="114"/>
      <w:bookmarkEnd w:id="115"/>
      <w:bookmarkEnd w:id="116"/>
      <w:bookmarkEnd w:id="117"/>
      <w:bookmarkEnd w:id="118"/>
      <w:bookmarkEnd w:id="119"/>
      <w:bookmarkEnd w:id="120"/>
      <w:bookmarkEnd w:id="121"/>
      <w:bookmarkEnd w:id="122"/>
      <w:bookmarkEnd w:id="123"/>
      <w:bookmarkEnd w:id="124"/>
    </w:p>
    <w:p w14:paraId="0DE17511">
      <w:pPr>
        <w:widowControl/>
        <w:adjustRightInd w:val="0"/>
        <w:snapToGrid w:val="0"/>
        <w:spacing w:line="55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《指引》设置了</w:t>
      </w:r>
      <w:r>
        <w:rPr>
          <w:rFonts w:ascii="Times New Roman" w:hAnsi="Times New Roman" w:cs="Times New Roman"/>
          <w:szCs w:val="30"/>
          <w:lang w:bidi="ar"/>
        </w:rPr>
        <w:t>21</w:t>
      </w:r>
      <w:r>
        <w:rPr>
          <w:rFonts w:hint="eastAsia" w:ascii="Times New Roman" w:hAnsi="Times New Roman" w:cs="Times New Roman"/>
          <w:szCs w:val="30"/>
          <w:lang w:bidi="ar"/>
        </w:rPr>
        <w:t>项议题，其中：环境维度</w:t>
      </w:r>
      <w:r>
        <w:rPr>
          <w:rFonts w:ascii="Times New Roman" w:hAnsi="Times New Roman" w:cs="Times New Roman"/>
          <w:szCs w:val="30"/>
          <w:lang w:bidi="ar"/>
        </w:rPr>
        <w:t>8</w:t>
      </w:r>
      <w:r>
        <w:rPr>
          <w:rFonts w:hint="eastAsia" w:ascii="Times New Roman" w:hAnsi="Times New Roman" w:cs="Times New Roman"/>
          <w:szCs w:val="30"/>
          <w:lang w:bidi="ar"/>
        </w:rPr>
        <w:t>项，社会维度</w:t>
      </w:r>
      <w:r>
        <w:rPr>
          <w:rFonts w:ascii="Times New Roman" w:hAnsi="Times New Roman" w:cs="Times New Roman"/>
          <w:szCs w:val="30"/>
          <w:lang w:bidi="ar"/>
        </w:rPr>
        <w:t>9</w:t>
      </w:r>
      <w:r>
        <w:rPr>
          <w:rFonts w:hint="eastAsia" w:ascii="Times New Roman" w:hAnsi="Times New Roman" w:cs="Times New Roman"/>
          <w:szCs w:val="30"/>
          <w:lang w:bidi="ar"/>
        </w:rPr>
        <w:t>项，可持续发展相关治理维度</w:t>
      </w:r>
      <w:r>
        <w:rPr>
          <w:rFonts w:ascii="Times New Roman" w:hAnsi="Times New Roman" w:cs="Times New Roman"/>
          <w:szCs w:val="30"/>
          <w:lang w:bidi="ar"/>
        </w:rPr>
        <w:t>4</w:t>
      </w:r>
      <w:r>
        <w:rPr>
          <w:rFonts w:hint="eastAsia" w:ascii="Times New Roman" w:hAnsi="Times New Roman" w:cs="Times New Roman"/>
          <w:szCs w:val="30"/>
          <w:lang w:bidi="ar"/>
        </w:rPr>
        <w:t>项。具体如下：</w:t>
      </w:r>
    </w:p>
    <w:p w14:paraId="3DA8F132">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1</w:t>
      </w:r>
      <w:r>
        <w:rPr>
          <w:rFonts w:hint="eastAsia" w:ascii="Times New Roman" w:hAnsi="Times New Roman" w:eastAsia="黑体" w:cs="Times New Roman"/>
          <w:sz w:val="24"/>
          <w:szCs w:val="24"/>
          <w:lang w:bidi="ar"/>
        </w:rPr>
        <w:t>：议题设置表</w:t>
      </w:r>
    </w:p>
    <w:tbl>
      <w:tblPr>
        <w:tblStyle w:val="28"/>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5"/>
        <w:gridCol w:w="2927"/>
        <w:gridCol w:w="2624"/>
      </w:tblGrid>
      <w:tr w14:paraId="13F49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exact"/>
          <w:tblHeader/>
          <w:jc w:val="center"/>
        </w:trPr>
        <w:tc>
          <w:tcPr>
            <w:tcW w:w="2775" w:type="dxa"/>
            <w:shd w:val="clear" w:color="auto" w:fill="auto"/>
            <w:vAlign w:val="center"/>
          </w:tcPr>
          <w:p w14:paraId="6C7FE9CE">
            <w:pPr>
              <w:widowControl/>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环境</w:t>
            </w:r>
          </w:p>
        </w:tc>
        <w:tc>
          <w:tcPr>
            <w:tcW w:w="2927" w:type="dxa"/>
            <w:shd w:val="clear" w:color="auto" w:fill="auto"/>
            <w:vAlign w:val="center"/>
          </w:tcPr>
          <w:p w14:paraId="017813AB">
            <w:pPr>
              <w:widowControl/>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社会</w:t>
            </w:r>
          </w:p>
        </w:tc>
        <w:tc>
          <w:tcPr>
            <w:tcW w:w="2624" w:type="dxa"/>
            <w:shd w:val="clear" w:color="auto" w:fill="auto"/>
            <w:vAlign w:val="center"/>
          </w:tcPr>
          <w:p w14:paraId="7FBFD4F8">
            <w:pPr>
              <w:widowControl/>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可持续发展相关治理</w:t>
            </w:r>
          </w:p>
        </w:tc>
      </w:tr>
      <w:tr w14:paraId="09148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6" w:hRule="exact"/>
          <w:jc w:val="center"/>
        </w:trPr>
        <w:tc>
          <w:tcPr>
            <w:tcW w:w="2775" w:type="dxa"/>
            <w:vAlign w:val="center"/>
          </w:tcPr>
          <w:p w14:paraId="61A9F078">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应对气候变化</w:t>
            </w:r>
          </w:p>
          <w:p w14:paraId="7C54F51E">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污染物排放</w:t>
            </w:r>
          </w:p>
          <w:p w14:paraId="1FD40E49">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废弃物处理</w:t>
            </w:r>
          </w:p>
          <w:p w14:paraId="0A90F8A5">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生态系统和生物多样性保护</w:t>
            </w:r>
          </w:p>
          <w:p w14:paraId="6A1990E0">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环境合规管理</w:t>
            </w:r>
          </w:p>
          <w:p w14:paraId="27CFE5D4">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能源利用</w:t>
            </w:r>
          </w:p>
          <w:p w14:paraId="132A1CAB">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水资源利用</w:t>
            </w:r>
          </w:p>
          <w:p w14:paraId="7B1872C1">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循环经济</w:t>
            </w:r>
          </w:p>
        </w:tc>
        <w:tc>
          <w:tcPr>
            <w:tcW w:w="2927" w:type="dxa"/>
            <w:vAlign w:val="center"/>
          </w:tcPr>
          <w:p w14:paraId="53BC926E">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乡村振兴</w:t>
            </w:r>
          </w:p>
          <w:p w14:paraId="19913F71">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社会贡献</w:t>
            </w:r>
          </w:p>
          <w:p w14:paraId="7B488542">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创新驱动</w:t>
            </w:r>
          </w:p>
          <w:p w14:paraId="4411AF41">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科技伦理</w:t>
            </w:r>
          </w:p>
          <w:p w14:paraId="6BE71394">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供应链安全</w:t>
            </w:r>
          </w:p>
          <w:p w14:paraId="26F6C5C9">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平等对待中小企业</w:t>
            </w:r>
          </w:p>
          <w:p w14:paraId="68F23DED">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产品和服务安全与质量</w:t>
            </w:r>
          </w:p>
          <w:p w14:paraId="727164BB">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数据安全与客户隐私保护</w:t>
            </w:r>
          </w:p>
          <w:p w14:paraId="3F6ED899">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员工</w:t>
            </w:r>
          </w:p>
        </w:tc>
        <w:tc>
          <w:tcPr>
            <w:tcW w:w="2624" w:type="dxa"/>
            <w:vAlign w:val="center"/>
          </w:tcPr>
          <w:p w14:paraId="33EA4DBA">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尽职调查</w:t>
            </w:r>
          </w:p>
          <w:p w14:paraId="358996AC">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利益相关方沟通</w:t>
            </w:r>
          </w:p>
          <w:p w14:paraId="3585F1DE">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反商业贿赂及反贪污</w:t>
            </w:r>
          </w:p>
          <w:p w14:paraId="2DAE7A2C">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反不正当竞争</w:t>
            </w:r>
          </w:p>
        </w:tc>
      </w:tr>
    </w:tbl>
    <w:p w14:paraId="21CC394E">
      <w:pPr>
        <w:widowControl/>
        <w:adjustRightInd w:val="0"/>
        <w:snapToGrid w:val="0"/>
        <w:spacing w:line="560" w:lineRule="exact"/>
        <w:ind w:firstLine="600" w:firstLineChars="200"/>
        <w:rPr>
          <w:rFonts w:ascii="Times New Roman" w:hAnsi="Times New Roman" w:cs="Times New Roman"/>
          <w:szCs w:val="30"/>
          <w:lang w:bidi="ar"/>
        </w:rPr>
      </w:pPr>
      <w:bookmarkStart w:id="125" w:name="_Toc180164936"/>
      <w:bookmarkStart w:id="126" w:name="_Toc30343"/>
      <w:bookmarkStart w:id="127" w:name="_Toc10206"/>
      <w:bookmarkStart w:id="128" w:name="_Toc18697"/>
      <w:bookmarkStart w:id="129" w:name="_Toc12124"/>
      <w:bookmarkStart w:id="130" w:name="_Toc180165199"/>
      <w:bookmarkStart w:id="131" w:name="_Toc24886"/>
      <w:bookmarkStart w:id="132" w:name="_Toc181730946"/>
      <w:bookmarkStart w:id="133" w:name="_Toc28787"/>
      <w:bookmarkStart w:id="134" w:name="_Toc12484"/>
      <w:bookmarkStart w:id="135" w:name="_Toc15020"/>
      <w:bookmarkStart w:id="136" w:name="_Toc23031"/>
      <w:r>
        <w:rPr>
          <w:rFonts w:hint="eastAsia" w:ascii="Times New Roman" w:hAnsi="Times New Roman" w:cs="Times New Roman"/>
          <w:szCs w:val="30"/>
          <w:lang w:bidi="ar"/>
        </w:rPr>
        <w:t>披露主体可以在《指引》设置的议题外，结合所处行业特点、行业发展阶段、自身商业模式、所处价值链等情况，识别并披露其他具有财务重要性或者影响重要性的议题。</w:t>
      </w:r>
    </w:p>
    <w:p w14:paraId="7F45C2F3">
      <w:pPr>
        <w:widowControl/>
        <w:numPr>
          <w:ilvl w:val="255"/>
          <w:numId w:val="0"/>
        </w:numPr>
        <w:adjustRightInd w:val="0"/>
        <w:snapToGrid w:val="0"/>
        <w:spacing w:line="600" w:lineRule="exact"/>
        <w:ind w:firstLine="600" w:firstLineChars="200"/>
        <w:jc w:val="left"/>
        <w:outlineLvl w:val="1"/>
        <w:rPr>
          <w:rFonts w:ascii="Times New Roman" w:hAnsi="Times New Roman" w:eastAsia="黑体" w:cs="Times New Roman"/>
          <w:szCs w:val="30"/>
          <w:lang w:bidi="ar"/>
        </w:rPr>
      </w:pPr>
      <w:bookmarkStart w:id="137" w:name="_Toc187328617"/>
      <w:r>
        <w:rPr>
          <w:rFonts w:hint="eastAsia" w:ascii="Times New Roman" w:hAnsi="Times New Roman" w:eastAsia="黑体" w:cs="Times New Roman"/>
          <w:szCs w:val="30"/>
          <w:lang w:bidi="ar"/>
        </w:rPr>
        <w:t>八、</w:t>
      </w:r>
      <w:r>
        <w:rPr>
          <w:rFonts w:ascii="Times New Roman" w:hAnsi="Times New Roman" w:eastAsia="黑体" w:cs="Times New Roman"/>
          <w:szCs w:val="30"/>
          <w:lang w:bidi="ar"/>
        </w:rPr>
        <w:t>议题</w:t>
      </w:r>
      <w:r>
        <w:rPr>
          <w:rFonts w:hint="eastAsia" w:ascii="Times New Roman" w:hAnsi="Times New Roman" w:eastAsia="黑体" w:cs="Times New Roman"/>
          <w:szCs w:val="30"/>
          <w:lang w:bidi="ar"/>
        </w:rPr>
        <w:t>的披露要求</w:t>
      </w:r>
      <w:bookmarkEnd w:id="125"/>
      <w:bookmarkEnd w:id="126"/>
      <w:bookmarkEnd w:id="127"/>
      <w:bookmarkEnd w:id="128"/>
      <w:bookmarkEnd w:id="129"/>
      <w:bookmarkEnd w:id="130"/>
      <w:bookmarkEnd w:id="131"/>
      <w:bookmarkEnd w:id="132"/>
      <w:bookmarkEnd w:id="133"/>
      <w:bookmarkEnd w:id="134"/>
      <w:bookmarkEnd w:id="135"/>
      <w:bookmarkEnd w:id="136"/>
      <w:bookmarkEnd w:id="137"/>
    </w:p>
    <w:p w14:paraId="556F66F6">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披露主体应当从“财务重要性”和“影响重要性”两个方面对议题重要性进行判断，并根据议题的重要性评估情况，按照《指引》规定采用不同的披露框架。</w:t>
      </w:r>
    </w:p>
    <w:p w14:paraId="2DE5E60F">
      <w:pPr>
        <w:widowControl/>
        <w:adjustRightInd w:val="0"/>
        <w:snapToGrid w:val="0"/>
        <w:spacing w:after="156" w:afterLines="50" w:line="560" w:lineRule="exact"/>
        <w:jc w:val="center"/>
        <w:rPr>
          <w:rFonts w:ascii="Times New Roman" w:hAnsi="Times New Roman" w:eastAsia="黑体" w:cs="Times New Roman"/>
          <w:szCs w:val="30"/>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2</w:t>
      </w:r>
      <w:r>
        <w:rPr>
          <w:rFonts w:hint="eastAsia" w:ascii="Times New Roman" w:hAnsi="Times New Roman" w:eastAsia="黑体" w:cs="Times New Roman"/>
          <w:sz w:val="24"/>
          <w:szCs w:val="24"/>
          <w:lang w:bidi="ar"/>
        </w:rPr>
        <w:t>：议题披露要求表</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98"/>
        <w:gridCol w:w="1507"/>
        <w:gridCol w:w="1506"/>
        <w:gridCol w:w="3511"/>
      </w:tblGrid>
      <w:tr w14:paraId="7C2CD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shd w:val="clear" w:color="auto" w:fill="auto"/>
            <w:vAlign w:val="center"/>
          </w:tcPr>
          <w:p w14:paraId="57BD98F6">
            <w:pPr>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类别</w:t>
            </w:r>
          </w:p>
        </w:tc>
        <w:tc>
          <w:tcPr>
            <w:tcW w:w="884" w:type="pct"/>
            <w:shd w:val="clear" w:color="auto" w:fill="auto"/>
            <w:vAlign w:val="center"/>
          </w:tcPr>
          <w:p w14:paraId="7C1C1BDE">
            <w:pPr>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是否具有财务重要性</w:t>
            </w:r>
          </w:p>
        </w:tc>
        <w:tc>
          <w:tcPr>
            <w:tcW w:w="883" w:type="pct"/>
            <w:shd w:val="clear" w:color="auto" w:fill="auto"/>
            <w:vAlign w:val="center"/>
          </w:tcPr>
          <w:p w14:paraId="4AF7056F">
            <w:pPr>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是否具有影响重要性</w:t>
            </w:r>
          </w:p>
        </w:tc>
        <w:tc>
          <w:tcPr>
            <w:tcW w:w="2059" w:type="pct"/>
            <w:shd w:val="clear" w:color="auto" w:fill="auto"/>
            <w:vAlign w:val="center"/>
          </w:tcPr>
          <w:p w14:paraId="25A6F1FB">
            <w:pPr>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披露要求</w:t>
            </w:r>
          </w:p>
        </w:tc>
      </w:tr>
      <w:tr w14:paraId="19FF5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vMerge w:val="restart"/>
            <w:vAlign w:val="center"/>
          </w:tcPr>
          <w:p w14:paraId="14342DC8">
            <w:pPr>
              <w:adjustRightInd w:val="0"/>
              <w:snapToGrid w:val="0"/>
              <w:jc w:val="left"/>
              <w:rPr>
                <w:rFonts w:ascii="Times New Roman" w:hAnsi="Times New Roman" w:cs="Times New Roman"/>
                <w:bCs/>
                <w:kern w:val="0"/>
                <w:sz w:val="24"/>
                <w:szCs w:val="24"/>
              </w:rPr>
            </w:pPr>
            <w:r>
              <w:rPr>
                <w:rFonts w:hint="eastAsia" w:ascii="Times New Roman" w:hAnsi="Times New Roman" w:cs="Times New Roman"/>
                <w:bCs/>
                <w:kern w:val="0"/>
                <w:sz w:val="24"/>
                <w:szCs w:val="24"/>
              </w:rPr>
              <w:t>《指引》规定的</w:t>
            </w:r>
            <w:r>
              <w:rPr>
                <w:rFonts w:ascii="Times New Roman" w:hAnsi="Times New Roman" w:cs="Times New Roman"/>
                <w:bCs/>
                <w:kern w:val="0"/>
                <w:sz w:val="24"/>
                <w:szCs w:val="24"/>
              </w:rPr>
              <w:t>21</w:t>
            </w:r>
            <w:r>
              <w:rPr>
                <w:rFonts w:hint="eastAsia" w:ascii="Times New Roman" w:hAnsi="Times New Roman" w:cs="Times New Roman"/>
                <w:bCs/>
                <w:kern w:val="0"/>
                <w:sz w:val="24"/>
                <w:szCs w:val="24"/>
              </w:rPr>
              <w:t>项议题</w:t>
            </w:r>
          </w:p>
        </w:tc>
        <w:tc>
          <w:tcPr>
            <w:tcW w:w="884" w:type="pct"/>
            <w:vAlign w:val="center"/>
          </w:tcPr>
          <w:p w14:paraId="0FF3265B">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是</w:t>
            </w:r>
          </w:p>
        </w:tc>
        <w:tc>
          <w:tcPr>
            <w:tcW w:w="883" w:type="pct"/>
            <w:vAlign w:val="center"/>
          </w:tcPr>
          <w:p w14:paraId="2C6C6192">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是</w:t>
            </w:r>
            <w:r>
              <w:rPr>
                <w:rFonts w:ascii="Times New Roman" w:hAnsi="Times New Roman" w:cs="Times New Roman"/>
                <w:kern w:val="0"/>
                <w:sz w:val="24"/>
                <w:szCs w:val="24"/>
              </w:rPr>
              <w:t>/</w:t>
            </w:r>
            <w:r>
              <w:rPr>
                <w:rFonts w:hint="eastAsia" w:ascii="Times New Roman" w:hAnsi="Times New Roman" w:cs="Times New Roman"/>
                <w:kern w:val="0"/>
                <w:sz w:val="24"/>
                <w:szCs w:val="24"/>
              </w:rPr>
              <w:t>否</w:t>
            </w:r>
          </w:p>
        </w:tc>
        <w:tc>
          <w:tcPr>
            <w:tcW w:w="2059" w:type="pct"/>
            <w:vAlign w:val="center"/>
          </w:tcPr>
          <w:p w14:paraId="7D471958">
            <w:pPr>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“治理</w:t>
            </w:r>
            <w:r>
              <w:rPr>
                <w:rFonts w:ascii="Times New Roman" w:hAnsi="Times New Roman" w:cs="Times New Roman"/>
                <w:kern w:val="0"/>
                <w:sz w:val="24"/>
                <w:szCs w:val="24"/>
              </w:rPr>
              <w:t>-</w:t>
            </w:r>
            <w:r>
              <w:rPr>
                <w:rFonts w:hint="eastAsia" w:ascii="Times New Roman" w:hAnsi="Times New Roman" w:cs="Times New Roman"/>
                <w:kern w:val="0"/>
                <w:sz w:val="24"/>
                <w:szCs w:val="24"/>
              </w:rPr>
              <w:t>战略</w:t>
            </w:r>
            <w:r>
              <w:rPr>
                <w:rFonts w:ascii="Times New Roman" w:hAnsi="Times New Roman" w:cs="Times New Roman"/>
                <w:kern w:val="0"/>
                <w:sz w:val="24"/>
                <w:szCs w:val="24"/>
              </w:rPr>
              <w:t>-</w:t>
            </w:r>
            <w:r>
              <w:rPr>
                <w:rFonts w:hint="eastAsia" w:ascii="Times New Roman" w:hAnsi="Times New Roman" w:cs="Times New Roman"/>
                <w:kern w:val="0"/>
                <w:sz w:val="24"/>
                <w:szCs w:val="24"/>
              </w:rPr>
              <w:t>影响、风险和机遇管理</w:t>
            </w:r>
            <w:r>
              <w:rPr>
                <w:rFonts w:ascii="Times New Roman" w:hAnsi="Times New Roman" w:cs="Times New Roman"/>
                <w:kern w:val="0"/>
                <w:sz w:val="24"/>
                <w:szCs w:val="24"/>
              </w:rPr>
              <w:t>-</w:t>
            </w:r>
            <w:r>
              <w:rPr>
                <w:rFonts w:hint="eastAsia" w:ascii="Times New Roman" w:hAnsi="Times New Roman" w:cs="Times New Roman"/>
                <w:kern w:val="0"/>
                <w:sz w:val="24"/>
                <w:szCs w:val="24"/>
              </w:rPr>
              <w:t>指标与目标”四要素内容，以及《指引》具体议题的规定。</w:t>
            </w:r>
          </w:p>
        </w:tc>
      </w:tr>
      <w:tr w14:paraId="41314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vMerge w:val="continue"/>
            <w:vAlign w:val="center"/>
          </w:tcPr>
          <w:p w14:paraId="3CA6974C">
            <w:pPr>
              <w:adjustRightInd w:val="0"/>
              <w:snapToGrid w:val="0"/>
              <w:jc w:val="left"/>
              <w:rPr>
                <w:rFonts w:ascii="Times New Roman" w:hAnsi="Times New Roman" w:cs="Times New Roman"/>
                <w:bCs/>
                <w:kern w:val="0"/>
                <w:sz w:val="24"/>
                <w:szCs w:val="24"/>
              </w:rPr>
            </w:pPr>
          </w:p>
        </w:tc>
        <w:tc>
          <w:tcPr>
            <w:tcW w:w="884" w:type="pct"/>
            <w:vAlign w:val="center"/>
          </w:tcPr>
          <w:p w14:paraId="4ACA9B1E">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否</w:t>
            </w:r>
          </w:p>
        </w:tc>
        <w:tc>
          <w:tcPr>
            <w:tcW w:w="883" w:type="pct"/>
            <w:vAlign w:val="center"/>
          </w:tcPr>
          <w:p w14:paraId="5C26BD6B">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是</w:t>
            </w:r>
          </w:p>
        </w:tc>
        <w:tc>
          <w:tcPr>
            <w:tcW w:w="2059" w:type="pct"/>
            <w:vAlign w:val="center"/>
          </w:tcPr>
          <w:p w14:paraId="0C23485A">
            <w:pPr>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《指引》具体议题的规定。</w:t>
            </w:r>
          </w:p>
        </w:tc>
      </w:tr>
      <w:tr w14:paraId="17119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172" w:type="pct"/>
            <w:vMerge w:val="continue"/>
            <w:vAlign w:val="center"/>
          </w:tcPr>
          <w:p w14:paraId="379A764C">
            <w:pPr>
              <w:adjustRightInd w:val="0"/>
              <w:snapToGrid w:val="0"/>
              <w:jc w:val="left"/>
              <w:rPr>
                <w:rFonts w:ascii="Times New Roman" w:hAnsi="Times New Roman" w:cs="Times New Roman"/>
                <w:bCs/>
                <w:kern w:val="0"/>
                <w:sz w:val="24"/>
                <w:szCs w:val="24"/>
              </w:rPr>
            </w:pPr>
          </w:p>
        </w:tc>
        <w:tc>
          <w:tcPr>
            <w:tcW w:w="884" w:type="pct"/>
            <w:vAlign w:val="center"/>
          </w:tcPr>
          <w:p w14:paraId="06ED9A26">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否</w:t>
            </w:r>
          </w:p>
        </w:tc>
        <w:tc>
          <w:tcPr>
            <w:tcW w:w="883" w:type="pct"/>
            <w:vAlign w:val="center"/>
          </w:tcPr>
          <w:p w14:paraId="77289CCF">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否</w:t>
            </w:r>
          </w:p>
        </w:tc>
        <w:tc>
          <w:tcPr>
            <w:tcW w:w="2059" w:type="pct"/>
            <w:vAlign w:val="center"/>
          </w:tcPr>
          <w:p w14:paraId="6E710FDB">
            <w:pPr>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可不披露，应当按照《指引》第七条的规定充分说明原因。</w:t>
            </w:r>
          </w:p>
        </w:tc>
      </w:tr>
      <w:tr w14:paraId="3F8F3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vMerge w:val="restart"/>
            <w:vAlign w:val="center"/>
          </w:tcPr>
          <w:p w14:paraId="665F2D78">
            <w:pPr>
              <w:adjustRightInd w:val="0"/>
              <w:snapToGrid w:val="0"/>
              <w:jc w:val="left"/>
              <w:rPr>
                <w:rFonts w:ascii="Times New Roman" w:hAnsi="Times New Roman" w:cs="Times New Roman"/>
                <w:bCs/>
                <w:kern w:val="0"/>
                <w:sz w:val="24"/>
                <w:szCs w:val="24"/>
              </w:rPr>
            </w:pPr>
            <w:r>
              <w:rPr>
                <w:rFonts w:hint="eastAsia" w:ascii="Times New Roman" w:hAnsi="Times New Roman" w:cs="Times New Roman"/>
                <w:bCs/>
                <w:kern w:val="0"/>
                <w:sz w:val="24"/>
                <w:szCs w:val="24"/>
              </w:rPr>
              <w:t>公司自主识别出的其他议题</w:t>
            </w:r>
          </w:p>
        </w:tc>
        <w:tc>
          <w:tcPr>
            <w:tcW w:w="884" w:type="pct"/>
            <w:vAlign w:val="center"/>
          </w:tcPr>
          <w:p w14:paraId="1422C90F">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是</w:t>
            </w:r>
          </w:p>
        </w:tc>
        <w:tc>
          <w:tcPr>
            <w:tcW w:w="883" w:type="pct"/>
            <w:vAlign w:val="center"/>
          </w:tcPr>
          <w:p w14:paraId="4643B318">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是</w:t>
            </w:r>
            <w:r>
              <w:rPr>
                <w:rFonts w:ascii="Times New Roman" w:hAnsi="Times New Roman" w:cs="Times New Roman"/>
                <w:kern w:val="0"/>
                <w:sz w:val="24"/>
                <w:szCs w:val="24"/>
              </w:rPr>
              <w:t>/</w:t>
            </w:r>
            <w:r>
              <w:rPr>
                <w:rFonts w:hint="eastAsia" w:ascii="Times New Roman" w:hAnsi="Times New Roman" w:cs="Times New Roman"/>
                <w:kern w:val="0"/>
                <w:sz w:val="24"/>
                <w:szCs w:val="24"/>
              </w:rPr>
              <w:t>否</w:t>
            </w:r>
          </w:p>
        </w:tc>
        <w:tc>
          <w:tcPr>
            <w:tcW w:w="2059" w:type="pct"/>
            <w:vAlign w:val="center"/>
          </w:tcPr>
          <w:p w14:paraId="1503DD08">
            <w:pPr>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“治理</w:t>
            </w:r>
            <w:r>
              <w:rPr>
                <w:rFonts w:ascii="Times New Roman" w:hAnsi="Times New Roman" w:cs="Times New Roman"/>
                <w:kern w:val="0"/>
                <w:sz w:val="24"/>
                <w:szCs w:val="24"/>
              </w:rPr>
              <w:t>-</w:t>
            </w:r>
            <w:r>
              <w:rPr>
                <w:rFonts w:hint="eastAsia" w:ascii="Times New Roman" w:hAnsi="Times New Roman" w:cs="Times New Roman"/>
                <w:kern w:val="0"/>
                <w:sz w:val="24"/>
                <w:szCs w:val="24"/>
              </w:rPr>
              <w:t>战略</w:t>
            </w:r>
            <w:r>
              <w:rPr>
                <w:rFonts w:ascii="Times New Roman" w:hAnsi="Times New Roman" w:cs="Times New Roman"/>
                <w:kern w:val="0"/>
                <w:sz w:val="24"/>
                <w:szCs w:val="24"/>
              </w:rPr>
              <w:t>-</w:t>
            </w:r>
            <w:r>
              <w:rPr>
                <w:rFonts w:hint="eastAsia" w:ascii="Times New Roman" w:hAnsi="Times New Roman" w:cs="Times New Roman"/>
                <w:kern w:val="0"/>
                <w:sz w:val="24"/>
                <w:szCs w:val="24"/>
              </w:rPr>
              <w:t>影响、风险和机遇管理</w:t>
            </w:r>
            <w:r>
              <w:rPr>
                <w:rFonts w:ascii="Times New Roman" w:hAnsi="Times New Roman" w:cs="Times New Roman"/>
                <w:kern w:val="0"/>
                <w:sz w:val="24"/>
                <w:szCs w:val="24"/>
              </w:rPr>
              <w:t>-</w:t>
            </w:r>
            <w:r>
              <w:rPr>
                <w:rFonts w:hint="eastAsia" w:ascii="Times New Roman" w:hAnsi="Times New Roman" w:cs="Times New Roman"/>
                <w:kern w:val="0"/>
                <w:sz w:val="24"/>
                <w:szCs w:val="24"/>
              </w:rPr>
              <w:t>指标与目标”四要素内容，以及《指引》第十四条第三款规定的内容。</w:t>
            </w:r>
          </w:p>
        </w:tc>
      </w:tr>
      <w:tr w14:paraId="65D8E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vMerge w:val="continue"/>
            <w:vAlign w:val="center"/>
          </w:tcPr>
          <w:p w14:paraId="1A7492DB">
            <w:pPr>
              <w:adjustRightInd w:val="0"/>
              <w:snapToGrid w:val="0"/>
              <w:jc w:val="left"/>
              <w:rPr>
                <w:rFonts w:ascii="Times New Roman" w:hAnsi="Times New Roman" w:cs="Times New Roman"/>
                <w:b/>
                <w:kern w:val="0"/>
                <w:sz w:val="24"/>
                <w:szCs w:val="24"/>
              </w:rPr>
            </w:pPr>
          </w:p>
        </w:tc>
        <w:tc>
          <w:tcPr>
            <w:tcW w:w="884" w:type="pct"/>
            <w:vAlign w:val="center"/>
          </w:tcPr>
          <w:p w14:paraId="5292806A">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否</w:t>
            </w:r>
          </w:p>
        </w:tc>
        <w:tc>
          <w:tcPr>
            <w:tcW w:w="883" w:type="pct"/>
            <w:vAlign w:val="center"/>
          </w:tcPr>
          <w:p w14:paraId="45F951E5">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是</w:t>
            </w:r>
          </w:p>
        </w:tc>
        <w:tc>
          <w:tcPr>
            <w:tcW w:w="2059" w:type="pct"/>
            <w:vAlign w:val="center"/>
          </w:tcPr>
          <w:p w14:paraId="02AA29A2">
            <w:pPr>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《指引》第十四条第三款规定的内容。</w:t>
            </w:r>
          </w:p>
        </w:tc>
      </w:tr>
      <w:tr w14:paraId="3B34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72" w:type="pct"/>
            <w:vMerge w:val="continue"/>
            <w:vAlign w:val="center"/>
          </w:tcPr>
          <w:p w14:paraId="62138CDE">
            <w:pPr>
              <w:adjustRightInd w:val="0"/>
              <w:snapToGrid w:val="0"/>
              <w:jc w:val="left"/>
              <w:rPr>
                <w:rFonts w:ascii="Times New Roman" w:hAnsi="Times New Roman" w:cs="Times New Roman"/>
                <w:b/>
                <w:kern w:val="0"/>
                <w:sz w:val="24"/>
                <w:szCs w:val="24"/>
              </w:rPr>
            </w:pPr>
          </w:p>
        </w:tc>
        <w:tc>
          <w:tcPr>
            <w:tcW w:w="884" w:type="pct"/>
            <w:vAlign w:val="center"/>
          </w:tcPr>
          <w:p w14:paraId="0CE31D2D">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否</w:t>
            </w:r>
          </w:p>
        </w:tc>
        <w:tc>
          <w:tcPr>
            <w:tcW w:w="883" w:type="pct"/>
            <w:vAlign w:val="center"/>
          </w:tcPr>
          <w:p w14:paraId="2866DC6A">
            <w:pPr>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否</w:t>
            </w:r>
          </w:p>
        </w:tc>
        <w:tc>
          <w:tcPr>
            <w:tcW w:w="2059" w:type="pct"/>
            <w:vAlign w:val="center"/>
          </w:tcPr>
          <w:p w14:paraId="1C234858">
            <w:pPr>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无需披露。</w:t>
            </w:r>
          </w:p>
        </w:tc>
      </w:tr>
    </w:tbl>
    <w:p w14:paraId="75290E9C">
      <w:pPr>
        <w:widowControl/>
        <w:adjustRightInd w:val="0"/>
        <w:snapToGrid w:val="0"/>
        <w:spacing w:before="156" w:beforeLines="50"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披露主体经识别认为前述</w:t>
      </w:r>
      <w:r>
        <w:rPr>
          <w:rFonts w:ascii="Times New Roman" w:hAnsi="Times New Roman" w:cs="Times New Roman"/>
          <w:szCs w:val="30"/>
          <w:lang w:bidi="ar"/>
        </w:rPr>
        <w:t>21</w:t>
      </w:r>
      <w:r>
        <w:rPr>
          <w:rFonts w:hint="eastAsia" w:ascii="Times New Roman" w:hAnsi="Times New Roman" w:cs="Times New Roman"/>
          <w:szCs w:val="30"/>
          <w:lang w:bidi="ar"/>
        </w:rPr>
        <w:t>项议题既不具有财务重要性，也不具有影响重要性的，或者确不适用相关条款的，应当按照《指引》第七条的规定进行解释说明。</w:t>
      </w:r>
    </w:p>
    <w:p w14:paraId="3C1DFB9F">
      <w:pPr>
        <w:widowControl/>
        <w:numPr>
          <w:ilvl w:val="255"/>
          <w:numId w:val="0"/>
        </w:numPr>
        <w:adjustRightInd w:val="0"/>
        <w:snapToGrid w:val="0"/>
        <w:spacing w:line="560" w:lineRule="exact"/>
        <w:ind w:firstLine="600" w:firstLineChars="200"/>
        <w:jc w:val="left"/>
        <w:outlineLvl w:val="1"/>
        <w:rPr>
          <w:rFonts w:ascii="Times New Roman" w:hAnsi="Times New Roman" w:eastAsia="黑体" w:cs="Times New Roman"/>
          <w:szCs w:val="30"/>
          <w:lang w:bidi="ar"/>
        </w:rPr>
      </w:pPr>
      <w:bookmarkStart w:id="138" w:name="_Toc18422"/>
      <w:bookmarkStart w:id="139" w:name="_Toc14075"/>
      <w:bookmarkStart w:id="140" w:name="_Toc2960"/>
      <w:bookmarkStart w:id="141" w:name="_Toc187328618"/>
      <w:bookmarkStart w:id="142" w:name="_Toc181730947"/>
      <w:bookmarkStart w:id="143" w:name="_Toc14072"/>
      <w:r>
        <w:rPr>
          <w:rFonts w:hint="eastAsia" w:ascii="Times New Roman" w:hAnsi="Times New Roman" w:eastAsia="黑体" w:cs="Times New Roman"/>
          <w:szCs w:val="30"/>
          <w:lang w:bidi="ar"/>
        </w:rPr>
        <w:t>九、其他相关要求</w:t>
      </w:r>
      <w:bookmarkEnd w:id="138"/>
      <w:bookmarkEnd w:id="139"/>
      <w:bookmarkEnd w:id="140"/>
      <w:bookmarkEnd w:id="141"/>
      <w:bookmarkEnd w:id="142"/>
      <w:bookmarkEnd w:id="143"/>
    </w:p>
    <w:p w14:paraId="4EBB0D81">
      <w:pPr>
        <w:widowControl/>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lang w:bidi="ar"/>
        </w:rPr>
        <w:t>1</w:t>
      </w:r>
      <w:r>
        <w:rPr>
          <w:rFonts w:hint="eastAsia" w:ascii="Times New Roman" w:hAnsi="Times New Roman" w:cs="Times New Roman"/>
          <w:szCs w:val="30"/>
          <w:lang w:bidi="ar"/>
        </w:rPr>
        <w:t>、因相关信息涉及国家秘密、商业秘密，或者由于其他特殊原因，披露主体无法按照《指引》个别条款的规定履行信息披露义务、披露可能严重损害披露主体利益，或者确不适用相关条款、议题对其不具有财务重要性或影响重要性的，可以根据实际情况调整披露内容或者采取替代措施，但应当充分说明原因。调整披露内容或者采取替代措施可以采用代称、打包、汇总或者隐去关键信息等方式豁免披露该部分信息。法律法规对涉及国家秘密信息的披露、可持续发展信息强制性披露另有规定的，从其规定。</w:t>
      </w:r>
    </w:p>
    <w:p w14:paraId="43778324">
      <w:pPr>
        <w:widowControl/>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lang w:bidi="ar"/>
        </w:rPr>
        <w:t>2</w:t>
      </w:r>
      <w:r>
        <w:rPr>
          <w:rFonts w:hint="eastAsia" w:ascii="Times New Roman" w:hAnsi="Times New Roman" w:cs="Times New Roman"/>
          <w:szCs w:val="30"/>
          <w:lang w:bidi="ar"/>
        </w:rPr>
        <w:t>、披露主体应当关注利益相关方的诉求和关切，鼓励披露主体了解、征集利益相关方意见，通过访谈、座谈、问卷调查等方式，促进与利益相关方的有效交流，提升可持续发展信息披露质量。</w:t>
      </w:r>
    </w:p>
    <w:p w14:paraId="67F870AD">
      <w:pPr>
        <w:widowControl/>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lang w:bidi="ar"/>
        </w:rPr>
        <w:t>3</w:t>
      </w:r>
      <w:bookmarkStart w:id="144" w:name="_Toc180164937"/>
      <w:r>
        <w:rPr>
          <w:rFonts w:hint="eastAsia" w:ascii="Times New Roman" w:hAnsi="Times New Roman" w:cs="Times New Roman"/>
          <w:szCs w:val="30"/>
          <w:lang w:bidi="ar"/>
        </w:rPr>
        <w:t>、披露主体应当兼顾成本的可负担性，使用与公司的能力、前期工作成果和资源相匹配的方法收集可合理获得的信息。</w:t>
      </w:r>
    </w:p>
    <w:p w14:paraId="5C494620">
      <w:pPr>
        <w:widowControl/>
        <w:jc w:val="left"/>
        <w:rPr>
          <w:rFonts w:ascii="Times New Roman" w:hAnsi="Times New Roman" w:eastAsia="黑体" w:cs="Times New Roman"/>
          <w:b/>
          <w:bCs/>
          <w:szCs w:val="30"/>
        </w:rPr>
      </w:pPr>
      <w:r>
        <w:rPr>
          <w:rFonts w:ascii="Times New Roman" w:hAnsi="Times New Roman" w:eastAsia="黑体" w:cs="Times New Roman"/>
          <w:b/>
          <w:bCs/>
          <w:szCs w:val="30"/>
        </w:rPr>
        <w:br w:type="page"/>
      </w:r>
    </w:p>
    <w:p w14:paraId="11D6ABC7">
      <w:pPr>
        <w:adjustRightInd w:val="0"/>
        <w:snapToGrid w:val="0"/>
        <w:spacing w:after="156" w:afterLines="50"/>
        <w:jc w:val="center"/>
        <w:outlineLvl w:val="0"/>
        <w:rPr>
          <w:rFonts w:ascii="Times New Roman" w:hAnsi="Times New Roman" w:eastAsia="黑体" w:cs="Times New Roman"/>
          <w:b/>
          <w:bCs/>
          <w:szCs w:val="30"/>
        </w:rPr>
      </w:pPr>
      <w:bookmarkStart w:id="145" w:name="_Toc187328619"/>
      <w:bookmarkStart w:id="146" w:name="_Toc14088"/>
      <w:bookmarkStart w:id="147" w:name="_Toc2293"/>
      <w:bookmarkStart w:id="148" w:name="_Toc1697"/>
      <w:bookmarkStart w:id="149" w:name="_Toc4487"/>
      <w:bookmarkStart w:id="150" w:name="_Toc181730948"/>
      <w:r>
        <w:rPr>
          <w:rFonts w:hint="eastAsia" w:ascii="Times New Roman" w:hAnsi="Times New Roman" w:eastAsia="黑体" w:cs="Times New Roman"/>
          <w:b/>
          <w:bCs/>
          <w:szCs w:val="30"/>
        </w:rPr>
        <w:t>第二章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重要性议题识别与分析</w:t>
      </w:r>
      <w:bookmarkEnd w:id="144"/>
      <w:bookmarkEnd w:id="145"/>
      <w:bookmarkEnd w:id="146"/>
      <w:bookmarkEnd w:id="147"/>
      <w:bookmarkEnd w:id="148"/>
      <w:bookmarkEnd w:id="149"/>
      <w:bookmarkEnd w:id="150"/>
    </w:p>
    <w:p w14:paraId="48F3892E">
      <w:pPr>
        <w:adjustRightInd w:val="0"/>
        <w:snapToGrid w:val="0"/>
        <w:spacing w:line="560" w:lineRule="exact"/>
        <w:ind w:firstLine="600" w:firstLineChars="200"/>
        <w:rPr>
          <w:rFonts w:ascii="Times New Roman" w:hAnsi="Times New Roman" w:cs="Times New Roman"/>
          <w:szCs w:val="24"/>
          <w:lang w:bidi="ar"/>
        </w:rPr>
      </w:pPr>
      <w:r>
        <w:rPr>
          <w:rFonts w:hint="eastAsia" w:ascii="Times New Roman" w:hAnsi="Times New Roman" w:cs="Times New Roman"/>
          <w:szCs w:val="24"/>
          <w:lang w:bidi="ar"/>
        </w:rPr>
        <w:t>披露主体应当结合自身所处行业和经营业务的特点等情况，在《指引》设置的议题中识别每个议题是否预期在短期、中期和长期内对公司商业模式、业务运营、发展战略、财务状况、经营成果、现金流、融资方式及成本等产生重大影响（简称财务重要性），以及公司在相应议题的表现是否会对经济、社会和环境产生重大影响（简称影响重要性），并说明对议题重要性进行分析的过程。</w:t>
      </w:r>
    </w:p>
    <w:p w14:paraId="101CDAF7">
      <w:pPr>
        <w:adjustRightInd w:val="0"/>
        <w:snapToGrid w:val="0"/>
        <w:spacing w:line="560" w:lineRule="exact"/>
        <w:ind w:firstLine="600" w:firstLineChars="200"/>
        <w:rPr>
          <w:rFonts w:ascii="Times New Roman" w:hAnsi="Times New Roman" w:cs="Times New Roman"/>
          <w:szCs w:val="24"/>
          <w:lang w:bidi="ar"/>
        </w:rPr>
      </w:pPr>
      <w:r>
        <w:rPr>
          <w:rFonts w:hint="eastAsia" w:ascii="Times New Roman" w:hAnsi="Times New Roman" w:cs="Times New Roman"/>
          <w:szCs w:val="24"/>
          <w:lang w:bidi="ar"/>
        </w:rPr>
        <w:t>除《指引》设置的议题外，披露主体还应当结合所处行业特点、行业发展阶段、自身商业模式、所处价值链等情况，识别并按照《指引》的要求披露其他具有财务重要性或者影响重要性的议题。披露主体自身业务模式或所面临的政策环境、自然环境未发生重大变化的，无需每年都开展重要性议题的识别和分析工作。披露主体也可参考同行业优秀公司的重要性议题实践，以得出较为一致、可靠的识别结果。</w:t>
      </w:r>
    </w:p>
    <w:p w14:paraId="6A9CD617">
      <w:pPr>
        <w:widowControl/>
        <w:adjustRightInd w:val="0"/>
        <w:snapToGrid w:val="0"/>
        <w:spacing w:line="560" w:lineRule="exact"/>
        <w:ind w:firstLine="600" w:firstLineChars="200"/>
        <w:outlineLvl w:val="1"/>
        <w:rPr>
          <w:rFonts w:ascii="Times New Roman" w:hAnsi="Times New Roman" w:eastAsia="黑体" w:cs="Times New Roman"/>
          <w:szCs w:val="30"/>
          <w:lang w:bidi="ar"/>
        </w:rPr>
      </w:pPr>
      <w:bookmarkStart w:id="151" w:name="_Toc16006"/>
      <w:bookmarkStart w:id="152" w:name="_Toc15777"/>
      <w:bookmarkStart w:id="153" w:name="_Toc181730949"/>
      <w:bookmarkStart w:id="154" w:name="_Toc27183"/>
      <w:bookmarkStart w:id="155" w:name="_Toc8869"/>
      <w:bookmarkStart w:id="156" w:name="_Toc180164944"/>
      <w:bookmarkStart w:id="157" w:name="_Toc187328620"/>
      <w:r>
        <w:rPr>
          <w:rFonts w:hint="eastAsia" w:ascii="Times New Roman" w:hAnsi="Times New Roman" w:eastAsia="黑体" w:cs="Times New Roman"/>
          <w:szCs w:val="30"/>
          <w:lang w:bidi="ar"/>
        </w:rPr>
        <w:t>一、《指引》对重要性议题的定义及要求</w:t>
      </w:r>
      <w:bookmarkEnd w:id="151"/>
      <w:bookmarkEnd w:id="152"/>
      <w:bookmarkEnd w:id="153"/>
      <w:bookmarkEnd w:id="154"/>
      <w:bookmarkEnd w:id="155"/>
      <w:bookmarkEnd w:id="156"/>
      <w:bookmarkEnd w:id="157"/>
    </w:p>
    <w:p w14:paraId="22954BB2">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披露主体应从财务重要性和影响重要性两大维度判断议题重要性，具有财务重要性或影响重要性的议题，均可称为“重要性议题”。</w:t>
      </w:r>
    </w:p>
    <w:p w14:paraId="7D67EC85">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议题重要性分析结果直接影响可持续发展报告披露框架，是上市公司可持续发展治理与管理工作的基础。议题重要性分析可以帮助公司合理分配短、中、长期用于该项可持续发展议题的资源，明确可持续发展管理重点。《指引》中设置的议题对公司具有财务重要性的，不论是否具有影响重要性，均需按照“四要素内容及《指引》有关具体议题规定”进行披露。</w:t>
      </w:r>
    </w:p>
    <w:p w14:paraId="27326466">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3</w:t>
      </w:r>
      <w:r>
        <w:rPr>
          <w:rFonts w:hint="eastAsia" w:ascii="Times New Roman" w:hAnsi="Times New Roman" w:eastAsia="黑体" w:cs="Times New Roman"/>
          <w:sz w:val="24"/>
          <w:szCs w:val="24"/>
          <w:lang w:bidi="ar"/>
        </w:rPr>
        <w:t>：《指引》关于议题重大影响的判断依据</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6458"/>
      </w:tblGrid>
      <w:tr w14:paraId="738FE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vAlign w:val="center"/>
          </w:tcPr>
          <w:p w14:paraId="6CCFF656">
            <w:pPr>
              <w:widowControl/>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重要性维度</w:t>
            </w:r>
          </w:p>
        </w:tc>
        <w:tc>
          <w:tcPr>
            <w:tcW w:w="6458" w:type="dxa"/>
          </w:tcPr>
          <w:p w14:paraId="29822BFF">
            <w:pPr>
              <w:widowControl/>
              <w:adjustRightInd w:val="0"/>
              <w:snapToGrid w:val="0"/>
              <w:ind w:firstLine="1446" w:firstLineChars="600"/>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“重大影响”的说明</w:t>
            </w:r>
          </w:p>
        </w:tc>
      </w:tr>
      <w:tr w14:paraId="7F0A5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vAlign w:val="center"/>
          </w:tcPr>
          <w:p w14:paraId="229D0549">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财务重要性</w:t>
            </w:r>
          </w:p>
        </w:tc>
        <w:tc>
          <w:tcPr>
            <w:tcW w:w="6458" w:type="dxa"/>
          </w:tcPr>
          <w:p w14:paraId="72439A4B">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议题是否预期在短期、中期和长期内对公司商业模式、业务运营、发展战略、财务状况、经营成果、现金流、融资方式及成本等产生重大影响。</w:t>
            </w:r>
          </w:p>
        </w:tc>
      </w:tr>
      <w:tr w14:paraId="3BAF8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38" w:type="dxa"/>
            <w:vAlign w:val="center"/>
          </w:tcPr>
          <w:p w14:paraId="41FA8780">
            <w:pPr>
              <w:widowControl/>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影响重要性</w:t>
            </w:r>
          </w:p>
        </w:tc>
        <w:tc>
          <w:tcPr>
            <w:tcW w:w="6458" w:type="dxa"/>
          </w:tcPr>
          <w:p w14:paraId="0AC710D7">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企业在相应议题的表现是否会对经济、社会和环境产生实际或者潜在重大影响。</w:t>
            </w:r>
          </w:p>
        </w:tc>
      </w:tr>
    </w:tbl>
    <w:p w14:paraId="0F34ACF2">
      <w:pPr>
        <w:widowControl/>
        <w:adjustRightInd w:val="0"/>
        <w:snapToGrid w:val="0"/>
        <w:spacing w:before="156" w:beforeLines="50"/>
        <w:ind w:firstLine="600" w:firstLineChars="200"/>
        <w:outlineLvl w:val="1"/>
        <w:rPr>
          <w:rFonts w:ascii="Times New Roman" w:hAnsi="Times New Roman" w:eastAsia="黑体" w:cs="Times New Roman"/>
          <w:szCs w:val="30"/>
          <w:lang w:bidi="ar"/>
        </w:rPr>
      </w:pPr>
      <w:bookmarkStart w:id="158" w:name="_Toc10352"/>
      <w:bookmarkStart w:id="159" w:name="_Toc187328621"/>
      <w:bookmarkStart w:id="160" w:name="_Toc10970"/>
      <w:bookmarkStart w:id="161" w:name="_Toc5680"/>
      <w:bookmarkStart w:id="162" w:name="_Toc181730950"/>
      <w:bookmarkStart w:id="163" w:name="_Toc11063"/>
      <w:bookmarkStart w:id="164" w:name="_Toc180164948"/>
      <w:r>
        <w:rPr>
          <w:rFonts w:hint="eastAsia" w:ascii="Times New Roman" w:hAnsi="Times New Roman" w:eastAsia="黑体" w:cs="Times New Roman"/>
          <w:szCs w:val="30"/>
          <w:lang w:bidi="ar"/>
        </w:rPr>
        <w:t>二、议题重要性分析步骤</w:t>
      </w:r>
      <w:bookmarkEnd w:id="158"/>
      <w:bookmarkEnd w:id="159"/>
      <w:bookmarkEnd w:id="160"/>
      <w:bookmarkEnd w:id="161"/>
      <w:bookmarkEnd w:id="162"/>
      <w:bookmarkEnd w:id="163"/>
      <w:bookmarkEnd w:id="164"/>
    </w:p>
    <w:p w14:paraId="073FC50B">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披露主体应从“影响重要性”和“财务重要性”两个方面识别</w:t>
      </w:r>
      <w:r>
        <w:rPr>
          <w:rFonts w:ascii="Times New Roman" w:hAnsi="Times New Roman" w:cs="Times New Roman"/>
          <w:szCs w:val="30"/>
          <w:lang w:bidi="ar"/>
        </w:rPr>
        <w:t>分析</w:t>
      </w:r>
      <w:r>
        <w:rPr>
          <w:rFonts w:hint="eastAsia" w:ascii="Times New Roman" w:hAnsi="Times New Roman" w:cs="Times New Roman"/>
          <w:szCs w:val="30"/>
          <w:lang w:bidi="ar"/>
        </w:rPr>
        <w:t>议题的重要性，并说明分析的过程及结果。公司可以采取如下工作流程开展议题重要性分析，对分析过程中的文件记录与结果进行妥善保存，有助于内部信息追溯或接受第三方机构鉴证或审验，确保可持续发展报告信息的真实性。</w:t>
      </w:r>
    </w:p>
    <w:p w14:paraId="40B240C2">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示例</w:t>
      </w:r>
      <w:r>
        <w:rPr>
          <w:rFonts w:ascii="Times New Roman" w:hAnsi="Times New Roman" w:eastAsia="黑体" w:cs="Times New Roman"/>
          <w:sz w:val="24"/>
          <w:szCs w:val="24"/>
          <w:lang w:bidi="ar"/>
        </w:rPr>
        <w:t xml:space="preserve">1: </w:t>
      </w:r>
      <w:r>
        <w:rPr>
          <w:rFonts w:hint="eastAsia" w:ascii="Times New Roman" w:hAnsi="Times New Roman" w:eastAsia="黑体" w:cs="Times New Roman"/>
          <w:sz w:val="24"/>
          <w:szCs w:val="24"/>
          <w:lang w:bidi="ar"/>
        </w:rPr>
        <w:t>议题重要性分析流程</w:t>
      </w:r>
    </w:p>
    <w:p w14:paraId="33761827">
      <w:pPr>
        <w:widowControl/>
        <w:adjustRightInd w:val="0"/>
        <w:snapToGrid w:val="0"/>
        <w:rPr>
          <w:rFonts w:ascii="Times New Roman" w:hAnsi="Times New Roman" w:cs="Times New Roman"/>
          <w:szCs w:val="30"/>
          <w:lang w:bidi="ar"/>
        </w:rPr>
      </w:pPr>
      <w:r>
        <w:rPr>
          <w:rFonts w:ascii="Times New Roman" w:hAnsi="Times New Roman" w:cs="Times New Roman"/>
          <w:szCs w:val="30"/>
        </w:rPr>
        <w:drawing>
          <wp:inline distT="0" distB="0" distL="0" distR="0">
            <wp:extent cx="5177155" cy="2268855"/>
            <wp:effectExtent l="0" t="0" r="444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178826" cy="2269555"/>
                    </a:xfrm>
                    <a:prstGeom prst="rect">
                      <a:avLst/>
                    </a:prstGeom>
                  </pic:spPr>
                </pic:pic>
              </a:graphicData>
            </a:graphic>
          </wp:inline>
        </w:drawing>
      </w:r>
    </w:p>
    <w:p w14:paraId="09E55BF9">
      <w:pPr>
        <w:widowControl/>
        <w:adjustRightInd w:val="0"/>
        <w:snapToGrid w:val="0"/>
        <w:spacing w:before="156" w:beforeLines="50" w:line="560" w:lineRule="exact"/>
        <w:ind w:firstLine="602" w:firstLineChars="200"/>
        <w:outlineLvl w:val="2"/>
        <w:rPr>
          <w:rFonts w:ascii="Times New Roman" w:hAnsi="Times New Roman" w:cs="Times New Roman"/>
          <w:kern w:val="0"/>
          <w:szCs w:val="30"/>
        </w:rPr>
      </w:pPr>
      <w:bookmarkStart w:id="165" w:name="_Toc1371"/>
      <w:bookmarkStart w:id="166" w:name="_Toc4065"/>
      <w:bookmarkStart w:id="167" w:name="_Toc187328622"/>
      <w:bookmarkStart w:id="168" w:name="_Toc17692"/>
      <w:bookmarkStart w:id="169" w:name="_Toc82"/>
      <w:bookmarkStart w:id="170" w:name="_Toc897"/>
      <w:bookmarkStart w:id="171" w:name="_Toc180165216"/>
      <w:bookmarkStart w:id="172" w:name="_Toc30262"/>
      <w:bookmarkStart w:id="173" w:name="_Toc181730951"/>
      <w:bookmarkStart w:id="174" w:name="_Toc15222"/>
      <w:bookmarkStart w:id="175" w:name="_Toc1971"/>
      <w:bookmarkStart w:id="176" w:name="_Toc6843"/>
      <w:bookmarkStart w:id="177" w:name="_Toc18490"/>
      <w:bookmarkStart w:id="178" w:name="_Toc16955"/>
      <w:r>
        <w:rPr>
          <w:rFonts w:hint="eastAsia" w:ascii="Times New Roman" w:hAnsi="Times New Roman" w:cs="Times New Roman"/>
          <w:b/>
          <w:bCs/>
          <w:kern w:val="0"/>
          <w:szCs w:val="30"/>
        </w:rPr>
        <w:t>步骤一：了解公司活动和业务关系背景</w:t>
      </w:r>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14:paraId="420C5012">
      <w:pPr>
        <w:widowControl/>
        <w:adjustRightInd w:val="0"/>
        <w:snapToGrid w:val="0"/>
        <w:spacing w:after="156" w:afterLines="50" w:line="560" w:lineRule="exact"/>
        <w:ind w:firstLine="600" w:firstLineChars="200"/>
        <w:rPr>
          <w:rFonts w:ascii="Times New Roman" w:hAnsi="Times New Roman" w:cs="Times New Roman"/>
          <w:kern w:val="0"/>
          <w:szCs w:val="30"/>
        </w:rPr>
      </w:pPr>
      <w:bookmarkStart w:id="179" w:name="OLE_LINK7"/>
      <w:r>
        <w:rPr>
          <w:rFonts w:hint="eastAsia" w:ascii="Times New Roman" w:hAnsi="Times New Roman" w:cs="Times New Roman"/>
          <w:szCs w:val="30"/>
          <w:lang w:bidi="ar"/>
        </w:rPr>
        <w:t>披露主体可以将全面了解公司活动和业务关系背景作为第一步，</w:t>
      </w:r>
      <w:r>
        <w:rPr>
          <w:rFonts w:hint="eastAsia" w:ascii="Times New Roman" w:hAnsi="Times New Roman" w:cs="Times New Roman"/>
          <w:kern w:val="0"/>
          <w:szCs w:val="30"/>
        </w:rPr>
        <w:t>了解内部活动和业务关系、外部客观环境以及主要受影响的利益相关方。</w:t>
      </w:r>
      <w:bookmarkEnd w:id="179"/>
    </w:p>
    <w:p w14:paraId="00945CBD">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4</w:t>
      </w:r>
      <w:r>
        <w:rPr>
          <w:rFonts w:hint="eastAsia" w:ascii="Times New Roman" w:hAnsi="Times New Roman" w:eastAsia="黑体" w:cs="Times New Roman"/>
          <w:sz w:val="24"/>
          <w:szCs w:val="24"/>
          <w:lang w:bidi="ar"/>
        </w:rPr>
        <w:t>：了解公司活动及业务关系考虑因素</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8"/>
        <w:gridCol w:w="6134"/>
      </w:tblGrid>
      <w:tr w14:paraId="448D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pct"/>
            <w:vAlign w:val="center"/>
          </w:tcPr>
          <w:p w14:paraId="02AD7A5C">
            <w:pPr>
              <w:tabs>
                <w:tab w:val="left" w:pos="3016"/>
              </w:tabs>
              <w:adjustRightInd w:val="0"/>
              <w:snapToGrid w:val="0"/>
              <w:rPr>
                <w:rFonts w:ascii="Times New Roman" w:hAnsi="Times New Roman" w:cs="Times New Roman"/>
                <w:b/>
                <w:kern w:val="0"/>
                <w:sz w:val="24"/>
                <w:szCs w:val="24"/>
              </w:rPr>
            </w:pPr>
            <w:r>
              <w:rPr>
                <w:rFonts w:hint="eastAsia" w:ascii="Times New Roman" w:hAnsi="Times New Roman" w:cs="Times New Roman"/>
                <w:b/>
                <w:kern w:val="0"/>
                <w:sz w:val="24"/>
                <w:szCs w:val="24"/>
              </w:rPr>
              <w:t>了解公司活动和业务关系</w:t>
            </w:r>
          </w:p>
        </w:tc>
        <w:tc>
          <w:tcPr>
            <w:tcW w:w="3598" w:type="pct"/>
            <w:vAlign w:val="center"/>
          </w:tcPr>
          <w:p w14:paraId="36FD1DC9">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hint="eastAsia" w:ascii="Times New Roman" w:hAnsi="Times New Roman" w:cs="Times New Roman"/>
                <w:kern w:val="0"/>
                <w:sz w:val="24"/>
                <w:szCs w:val="24"/>
              </w:rPr>
              <w:t>分析公司的商业计划、战略、财务报表，并在适用的情况下，分析向投资者提供的其他信息；</w:t>
            </w:r>
          </w:p>
          <w:p w14:paraId="4C079A56">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hint="eastAsia" w:ascii="Times New Roman" w:hAnsi="Times New Roman" w:cs="Times New Roman"/>
                <w:kern w:val="0"/>
                <w:sz w:val="24"/>
                <w:szCs w:val="24"/>
              </w:rPr>
              <w:t>考察公司的活动、产品和服务，以及这些活动的地理位置；</w:t>
            </w:r>
          </w:p>
          <w:p w14:paraId="621589C0">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3.</w:t>
            </w:r>
            <w:r>
              <w:rPr>
                <w:rFonts w:hint="eastAsia" w:ascii="Times New Roman" w:hAnsi="Times New Roman" w:cs="Times New Roman"/>
                <w:kern w:val="0"/>
                <w:sz w:val="24"/>
                <w:szCs w:val="24"/>
              </w:rPr>
              <w:t>绘制公司的业务关系图，包括上游和下游价值链，以及业务关系的类型和性质。</w:t>
            </w:r>
          </w:p>
        </w:tc>
      </w:tr>
      <w:tr w14:paraId="21A7D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pct"/>
            <w:vAlign w:val="center"/>
          </w:tcPr>
          <w:p w14:paraId="1F6AB249">
            <w:pPr>
              <w:tabs>
                <w:tab w:val="left" w:pos="3016"/>
              </w:tabs>
              <w:adjustRightInd w:val="0"/>
              <w:snapToGrid w:val="0"/>
              <w:rPr>
                <w:rFonts w:ascii="Times New Roman" w:hAnsi="Times New Roman" w:cs="Times New Roman"/>
                <w:b/>
                <w:kern w:val="0"/>
                <w:sz w:val="24"/>
                <w:szCs w:val="24"/>
              </w:rPr>
            </w:pPr>
            <w:r>
              <w:rPr>
                <w:rFonts w:hint="eastAsia" w:ascii="Times New Roman" w:hAnsi="Times New Roman" w:cs="Times New Roman"/>
                <w:b/>
                <w:kern w:val="0"/>
                <w:sz w:val="24"/>
                <w:szCs w:val="24"/>
              </w:rPr>
              <w:t>了解外部客观环境</w:t>
            </w:r>
          </w:p>
        </w:tc>
        <w:tc>
          <w:tcPr>
            <w:tcW w:w="3598" w:type="pct"/>
            <w:vAlign w:val="center"/>
          </w:tcPr>
          <w:p w14:paraId="0C3406FF">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hint="eastAsia" w:ascii="Times New Roman" w:hAnsi="Times New Roman" w:cs="Times New Roman"/>
                <w:kern w:val="0"/>
                <w:sz w:val="24"/>
                <w:szCs w:val="24"/>
              </w:rPr>
              <w:t>分析与公司相关的法律和监管政策；</w:t>
            </w:r>
          </w:p>
          <w:p w14:paraId="645F8484">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hint="eastAsia" w:ascii="Times New Roman" w:hAnsi="Times New Roman" w:cs="Times New Roman"/>
                <w:kern w:val="0"/>
                <w:sz w:val="24"/>
                <w:szCs w:val="24"/>
              </w:rPr>
              <w:t>分析公开文件，如媒体报道、同业分析、特定行业标准、研究报告及出版物。</w:t>
            </w:r>
          </w:p>
        </w:tc>
      </w:tr>
      <w:tr w14:paraId="130BB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1" w:type="pct"/>
            <w:vAlign w:val="center"/>
          </w:tcPr>
          <w:p w14:paraId="57EEE39C">
            <w:pPr>
              <w:tabs>
                <w:tab w:val="left" w:pos="3016"/>
              </w:tabs>
              <w:adjustRightInd w:val="0"/>
              <w:snapToGrid w:val="0"/>
              <w:rPr>
                <w:rFonts w:ascii="Times New Roman" w:hAnsi="Times New Roman" w:cs="Times New Roman"/>
                <w:b/>
                <w:kern w:val="0"/>
                <w:sz w:val="24"/>
                <w:szCs w:val="24"/>
              </w:rPr>
            </w:pPr>
            <w:r>
              <w:rPr>
                <w:rFonts w:hint="eastAsia" w:ascii="Times New Roman" w:hAnsi="Times New Roman" w:cs="Times New Roman"/>
                <w:b/>
                <w:kern w:val="0"/>
                <w:sz w:val="24"/>
                <w:szCs w:val="24"/>
              </w:rPr>
              <w:t>了解主要受影响利益相关方</w:t>
            </w:r>
          </w:p>
        </w:tc>
        <w:tc>
          <w:tcPr>
            <w:tcW w:w="3598" w:type="pct"/>
            <w:vAlign w:val="center"/>
          </w:tcPr>
          <w:p w14:paraId="7033D031">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1.</w:t>
            </w:r>
            <w:r>
              <w:rPr>
                <w:rFonts w:hint="eastAsia" w:ascii="Times New Roman" w:hAnsi="Times New Roman" w:cs="Times New Roman"/>
                <w:kern w:val="0"/>
                <w:sz w:val="24"/>
                <w:szCs w:val="24"/>
              </w:rPr>
              <w:t>分析现有的利益相关者参与方式。例如，直接沟通、意见征询、信息提供等；</w:t>
            </w:r>
          </w:p>
          <w:p w14:paraId="51EA04C6">
            <w:pPr>
              <w:tabs>
                <w:tab w:val="left" w:pos="3016"/>
              </w:tabs>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2.</w:t>
            </w:r>
            <w:r>
              <w:rPr>
                <w:rFonts w:hint="eastAsia" w:ascii="Times New Roman" w:hAnsi="Times New Roman" w:cs="Times New Roman"/>
                <w:kern w:val="0"/>
                <w:sz w:val="24"/>
                <w:szCs w:val="24"/>
              </w:rPr>
              <w:t>绘制公司在其活动和业务关系中受影响的利益相关方的分布图。可以根据活动、产品或服务来识别不同的受影响的利益相关方群体，并针对特定的议题进行优先级排序。</w:t>
            </w:r>
          </w:p>
        </w:tc>
      </w:tr>
    </w:tbl>
    <w:p w14:paraId="0D3BD28A">
      <w:pPr>
        <w:widowControl/>
        <w:adjustRightInd w:val="0"/>
        <w:snapToGrid w:val="0"/>
        <w:spacing w:line="560" w:lineRule="exact"/>
        <w:ind w:firstLine="602" w:firstLineChars="200"/>
        <w:jc w:val="left"/>
        <w:outlineLvl w:val="2"/>
        <w:rPr>
          <w:rFonts w:ascii="Times New Roman" w:hAnsi="Times New Roman" w:cs="Times New Roman"/>
          <w:b/>
          <w:bCs/>
          <w:kern w:val="0"/>
          <w:szCs w:val="30"/>
        </w:rPr>
      </w:pPr>
      <w:bookmarkStart w:id="180" w:name="_Toc187328623"/>
      <w:bookmarkStart w:id="181" w:name="_Toc22704"/>
      <w:bookmarkStart w:id="182" w:name="_Toc19274"/>
      <w:bookmarkStart w:id="183" w:name="_Toc30950"/>
      <w:bookmarkStart w:id="184" w:name="_Toc180165217"/>
      <w:bookmarkStart w:id="185" w:name="_Toc24320"/>
      <w:bookmarkStart w:id="186" w:name="_Toc181730952"/>
      <w:bookmarkStart w:id="187" w:name="_Toc24212"/>
      <w:bookmarkStart w:id="188" w:name="_Toc235"/>
      <w:bookmarkStart w:id="189" w:name="_Toc3362"/>
      <w:bookmarkStart w:id="190" w:name="_Toc3427"/>
      <w:bookmarkStart w:id="191" w:name="_Toc16014"/>
      <w:r>
        <w:rPr>
          <w:rFonts w:hint="eastAsia" w:ascii="Times New Roman" w:hAnsi="Times New Roman" w:cs="Times New Roman"/>
          <w:b/>
          <w:bCs/>
          <w:kern w:val="0"/>
          <w:szCs w:val="30"/>
        </w:rPr>
        <w:t>步骤二：建立议题清单</w:t>
      </w:r>
      <w:bookmarkEnd w:id="180"/>
      <w:bookmarkEnd w:id="181"/>
      <w:bookmarkEnd w:id="182"/>
      <w:bookmarkEnd w:id="183"/>
      <w:bookmarkEnd w:id="184"/>
      <w:bookmarkEnd w:id="185"/>
      <w:bookmarkEnd w:id="186"/>
      <w:bookmarkEnd w:id="187"/>
      <w:bookmarkEnd w:id="188"/>
      <w:bookmarkEnd w:id="189"/>
      <w:bookmarkEnd w:id="190"/>
      <w:bookmarkEnd w:id="191"/>
    </w:p>
    <w:p w14:paraId="3FB0757E">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szCs w:val="30"/>
          <w:lang w:bidi="ar"/>
        </w:rPr>
        <w:t>披露主体</w:t>
      </w:r>
      <w:r>
        <w:rPr>
          <w:rFonts w:hint="eastAsia" w:ascii="Times New Roman" w:hAnsi="Times New Roman" w:cs="Times New Roman"/>
          <w:kern w:val="0"/>
          <w:szCs w:val="30"/>
        </w:rPr>
        <w:t>应使用《指引》中设置的</w:t>
      </w:r>
      <w:r>
        <w:rPr>
          <w:rFonts w:ascii="Times New Roman" w:hAnsi="Times New Roman" w:cs="Times New Roman"/>
          <w:kern w:val="0"/>
          <w:szCs w:val="30"/>
        </w:rPr>
        <w:t>21</w:t>
      </w:r>
      <w:r>
        <w:rPr>
          <w:rFonts w:hint="eastAsia" w:ascii="Times New Roman" w:hAnsi="Times New Roman" w:cs="Times New Roman"/>
          <w:kern w:val="0"/>
          <w:szCs w:val="30"/>
        </w:rPr>
        <w:t>个议题作为</w:t>
      </w:r>
      <w:r>
        <w:rPr>
          <w:rFonts w:hint="eastAsia" w:ascii="Times New Roman" w:hAnsi="Times New Roman" w:cs="Times New Roman"/>
          <w:szCs w:val="30"/>
          <w:lang w:bidi="ar"/>
        </w:rPr>
        <w:t>议题清单基础，</w:t>
      </w:r>
      <w:r>
        <w:rPr>
          <w:rFonts w:hint="eastAsia" w:ascii="Times New Roman" w:hAnsi="Times New Roman" w:cs="Times New Roman"/>
          <w:kern w:val="0"/>
          <w:szCs w:val="30"/>
        </w:rPr>
        <w:t>结合所处行业特点、行业发展阶段、自身商业模式、所处价值链等情况，</w:t>
      </w:r>
      <w:r>
        <w:rPr>
          <w:rFonts w:hint="eastAsia" w:ascii="Times New Roman" w:hAnsi="Times New Roman" w:cs="Times New Roman"/>
          <w:szCs w:val="30"/>
          <w:lang w:bidi="ar"/>
        </w:rPr>
        <w:t>识别</w:t>
      </w:r>
      <w:r>
        <w:rPr>
          <w:rFonts w:hint="eastAsia" w:ascii="Times New Roman" w:hAnsi="Times New Roman" w:cs="Times New Roman"/>
          <w:kern w:val="0"/>
          <w:szCs w:val="30"/>
        </w:rPr>
        <w:t>其他具有财务重要性或影响重要性的议题。</w:t>
      </w:r>
      <w:r>
        <w:rPr>
          <w:rFonts w:hint="eastAsia" w:ascii="Times New Roman" w:hAnsi="Times New Roman" w:cs="Times New Roman"/>
          <w:szCs w:val="30"/>
          <w:lang w:bidi="ar"/>
        </w:rPr>
        <w:t>公司可通过尽职调查、风险管理等内部流程，以及</w:t>
      </w:r>
      <w:r>
        <w:rPr>
          <w:rFonts w:hint="eastAsia" w:ascii="Times New Roman" w:hAnsi="Times New Roman" w:cs="Times New Roman"/>
          <w:kern w:val="0"/>
          <w:szCs w:val="30"/>
        </w:rPr>
        <w:t>整理相关监管政策、规则、行业标准及发展趋势、同业分析等方式</w:t>
      </w:r>
      <w:r>
        <w:rPr>
          <w:rFonts w:hint="eastAsia" w:ascii="Times New Roman" w:hAnsi="Times New Roman" w:cs="Times New Roman"/>
          <w:szCs w:val="30"/>
          <w:lang w:bidi="ar"/>
        </w:rPr>
        <w:t>识别重要性议题，完善</w:t>
      </w:r>
      <w:r>
        <w:rPr>
          <w:rFonts w:hint="eastAsia" w:ascii="Times New Roman" w:hAnsi="Times New Roman" w:cs="Times New Roman"/>
          <w:kern w:val="0"/>
          <w:szCs w:val="30"/>
        </w:rPr>
        <w:t>议题清单。</w:t>
      </w:r>
    </w:p>
    <w:p w14:paraId="72DF79D3">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5</w:t>
      </w:r>
      <w:r>
        <w:rPr>
          <w:rFonts w:hint="eastAsia" w:ascii="Times New Roman" w:hAnsi="Times New Roman" w:eastAsia="黑体" w:cs="Times New Roman"/>
          <w:sz w:val="24"/>
          <w:szCs w:val="24"/>
          <w:lang w:bidi="ar"/>
        </w:rPr>
        <w:t>：建立议题清单的参考方式</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9"/>
        <w:gridCol w:w="6447"/>
      </w:tblGrid>
      <w:tr w14:paraId="2D201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4" w:hRule="atLeast"/>
          <w:jc w:val="center"/>
        </w:trPr>
        <w:tc>
          <w:tcPr>
            <w:tcW w:w="1849" w:type="dxa"/>
            <w:vAlign w:val="center"/>
          </w:tcPr>
          <w:p w14:paraId="610CCC4C">
            <w:pPr>
              <w:widowControl/>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政策分析</w:t>
            </w:r>
          </w:p>
        </w:tc>
        <w:tc>
          <w:tcPr>
            <w:tcW w:w="6447" w:type="dxa"/>
            <w:vAlign w:val="center"/>
          </w:tcPr>
          <w:p w14:paraId="27EBB40C">
            <w:pPr>
              <w:widowControl/>
              <w:numPr>
                <w:ilvl w:val="255"/>
                <w:numId w:val="0"/>
              </w:numPr>
              <w:tabs>
                <w:tab w:val="left" w:pos="3016"/>
              </w:tabs>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1.</w:t>
            </w:r>
            <w:r>
              <w:rPr>
                <w:rFonts w:hint="eastAsia" w:ascii="Times New Roman" w:hAnsi="Times New Roman" w:cs="Times New Roman"/>
                <w:iCs/>
                <w:kern w:val="0"/>
                <w:sz w:val="24"/>
                <w:szCs w:val="24"/>
              </w:rPr>
              <w:t>参考运营所在地的宏观政策（如国家出台的综合性法律法规等）对于公司运营的整体影响进行政策分析。</w:t>
            </w:r>
          </w:p>
          <w:p w14:paraId="40EC5F3F">
            <w:pPr>
              <w:widowControl/>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2.</w:t>
            </w:r>
            <w:r>
              <w:rPr>
                <w:rFonts w:hint="eastAsia" w:ascii="Times New Roman" w:hAnsi="Times New Roman" w:cs="Times New Roman"/>
                <w:iCs/>
                <w:kern w:val="0"/>
                <w:sz w:val="24"/>
                <w:szCs w:val="24"/>
              </w:rPr>
              <w:t>考虑所在行业和具体业务相关的特定政策法规（例如行业标准、国家出台的行业管理规范等）对于公司的特定影响，识别重要的行业特定议题。</w:t>
            </w:r>
          </w:p>
        </w:tc>
      </w:tr>
      <w:tr w14:paraId="12A5B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9" w:type="dxa"/>
            <w:vAlign w:val="center"/>
          </w:tcPr>
          <w:p w14:paraId="43F0A16D">
            <w:pPr>
              <w:widowControl/>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规则与标准对标</w:t>
            </w:r>
          </w:p>
        </w:tc>
        <w:tc>
          <w:tcPr>
            <w:tcW w:w="6447" w:type="dxa"/>
          </w:tcPr>
          <w:p w14:paraId="43C5C667">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iCs/>
                <w:kern w:val="0"/>
                <w:sz w:val="24"/>
                <w:szCs w:val="24"/>
              </w:rPr>
              <w:t>参考《指引》的</w:t>
            </w:r>
            <w:r>
              <w:rPr>
                <w:rFonts w:ascii="Times New Roman" w:hAnsi="Times New Roman" w:cs="Times New Roman"/>
                <w:iCs/>
                <w:kern w:val="0"/>
                <w:sz w:val="24"/>
                <w:szCs w:val="24"/>
              </w:rPr>
              <w:t>21</w:t>
            </w:r>
            <w:r>
              <w:rPr>
                <w:rFonts w:hint="eastAsia" w:ascii="Times New Roman" w:hAnsi="Times New Roman" w:cs="Times New Roman"/>
                <w:iCs/>
                <w:kern w:val="0"/>
                <w:sz w:val="24"/>
                <w:szCs w:val="24"/>
              </w:rPr>
              <w:t>个议题，也可同时参考境内外其他可持续发展相关标准、评级机构相关标准等，选取其中要求披露的议题开展重要性分析。</w:t>
            </w:r>
          </w:p>
        </w:tc>
      </w:tr>
      <w:tr w14:paraId="3D296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4" w:hRule="atLeast"/>
          <w:jc w:val="center"/>
        </w:trPr>
        <w:tc>
          <w:tcPr>
            <w:tcW w:w="1849" w:type="dxa"/>
            <w:vAlign w:val="center"/>
          </w:tcPr>
          <w:p w14:paraId="714BC749">
            <w:pPr>
              <w:widowControl/>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同业分析</w:t>
            </w:r>
          </w:p>
        </w:tc>
        <w:tc>
          <w:tcPr>
            <w:tcW w:w="6447" w:type="dxa"/>
          </w:tcPr>
          <w:p w14:paraId="2F0197DF">
            <w:pPr>
              <w:widowControl/>
              <w:numPr>
                <w:ilvl w:val="255"/>
                <w:numId w:val="0"/>
              </w:numPr>
              <w:tabs>
                <w:tab w:val="left" w:pos="3016"/>
              </w:tabs>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1.</w:t>
            </w:r>
            <w:r>
              <w:rPr>
                <w:rFonts w:hint="eastAsia" w:ascii="Times New Roman" w:hAnsi="Times New Roman" w:cs="Times New Roman"/>
                <w:iCs/>
                <w:kern w:val="0"/>
                <w:sz w:val="24"/>
                <w:szCs w:val="24"/>
              </w:rPr>
              <w:t>参考可持续发展长期表现较为优异的同业或价值链上下游公司的重要性议题设定方式和排序结果，筛选出值得关注的重要性议题。由于同业的背景、业务结构、可持续发展管理现状等均有一定的差别，建议公司广泛参考多家同业公司的重要性议题，以得出较为一致、可靠的识别结果。</w:t>
            </w:r>
          </w:p>
          <w:p w14:paraId="6F93551D">
            <w:pPr>
              <w:widowControl/>
              <w:numPr>
                <w:ilvl w:val="255"/>
                <w:numId w:val="0"/>
              </w:numPr>
              <w:tabs>
                <w:tab w:val="left" w:pos="3016"/>
              </w:tabs>
              <w:adjustRightInd w:val="0"/>
              <w:snapToGrid w:val="0"/>
              <w:jc w:val="left"/>
              <w:rPr>
                <w:rFonts w:ascii="Times New Roman" w:hAnsi="Times New Roman" w:cs="Times New Roman"/>
                <w:iCs/>
                <w:kern w:val="0"/>
                <w:sz w:val="24"/>
                <w:szCs w:val="24"/>
              </w:rPr>
            </w:pPr>
            <w:r>
              <w:rPr>
                <w:rFonts w:ascii="Times New Roman" w:hAnsi="Times New Roman" w:cs="Times New Roman"/>
                <w:iCs/>
                <w:kern w:val="0"/>
                <w:sz w:val="24"/>
                <w:szCs w:val="24"/>
              </w:rPr>
              <w:t>2.</w:t>
            </w:r>
            <w:r>
              <w:rPr>
                <w:rFonts w:hint="eastAsia" w:ascii="Times New Roman" w:hAnsi="Times New Roman" w:cs="Times New Roman"/>
                <w:iCs/>
                <w:kern w:val="0"/>
                <w:sz w:val="24"/>
                <w:szCs w:val="24"/>
              </w:rPr>
              <w:t>涉及同业较多、业务类型较为复杂的公司可以梳理并提炼同业关注度较高的重要性议题，作为辅助识别议题的决策依据。</w:t>
            </w:r>
          </w:p>
          <w:p w14:paraId="09FA1FD5">
            <w:pPr>
              <w:widowControl/>
              <w:adjustRightInd w:val="0"/>
              <w:snapToGrid w:val="0"/>
              <w:jc w:val="left"/>
              <w:rPr>
                <w:rFonts w:ascii="Times New Roman" w:hAnsi="Times New Roman" w:cs="Times New Roman"/>
                <w:kern w:val="0"/>
                <w:sz w:val="24"/>
                <w:szCs w:val="24"/>
              </w:rPr>
            </w:pPr>
            <w:r>
              <w:rPr>
                <w:rFonts w:ascii="Times New Roman" w:hAnsi="Times New Roman" w:cs="Times New Roman"/>
                <w:iCs/>
                <w:kern w:val="0"/>
                <w:sz w:val="24"/>
                <w:szCs w:val="24"/>
              </w:rPr>
              <w:t>3.</w:t>
            </w:r>
            <w:r>
              <w:rPr>
                <w:rFonts w:hint="eastAsia" w:ascii="Times New Roman" w:hAnsi="Times New Roman" w:cs="Times New Roman"/>
                <w:iCs/>
                <w:kern w:val="0"/>
                <w:sz w:val="24"/>
                <w:szCs w:val="24"/>
              </w:rPr>
              <w:t>新的公司活动、业务关系以及运营环境的重大变动都可能导致公司所在行业背景及其影响的改变，因此公司应持续评估其行业背景并及时更新重要性议题识别结果。</w:t>
            </w:r>
          </w:p>
        </w:tc>
      </w:tr>
    </w:tbl>
    <w:p w14:paraId="6195CF6F">
      <w:pPr>
        <w:widowControl/>
        <w:adjustRightInd w:val="0"/>
        <w:snapToGrid w:val="0"/>
        <w:spacing w:before="156" w:beforeLines="50" w:line="560" w:lineRule="exact"/>
        <w:ind w:firstLine="602" w:firstLineChars="200"/>
        <w:jc w:val="left"/>
        <w:outlineLvl w:val="2"/>
        <w:rPr>
          <w:rFonts w:ascii="Times New Roman" w:hAnsi="Times New Roman" w:cs="Times New Roman"/>
          <w:b/>
          <w:bCs/>
          <w:kern w:val="0"/>
          <w:szCs w:val="30"/>
        </w:rPr>
      </w:pPr>
      <w:bookmarkStart w:id="192" w:name="_Toc12664"/>
      <w:bookmarkStart w:id="193" w:name="_Toc30930"/>
      <w:bookmarkStart w:id="194" w:name="_Toc181730953"/>
      <w:bookmarkStart w:id="195" w:name="_Toc26513"/>
      <w:bookmarkStart w:id="196" w:name="_Toc13250"/>
      <w:bookmarkStart w:id="197" w:name="_Toc17628"/>
      <w:bookmarkStart w:id="198" w:name="_Toc22926"/>
      <w:bookmarkStart w:id="199" w:name="_Toc187328624"/>
      <w:bookmarkStart w:id="200" w:name="_Toc180165218"/>
      <w:bookmarkStart w:id="201" w:name="_Toc8799"/>
      <w:bookmarkStart w:id="202" w:name="_Toc15478"/>
      <w:bookmarkStart w:id="203" w:name="_Toc27774"/>
      <w:r>
        <w:rPr>
          <w:rFonts w:hint="eastAsia" w:ascii="Times New Roman" w:hAnsi="Times New Roman" w:cs="Times New Roman"/>
          <w:b/>
          <w:bCs/>
          <w:kern w:val="0"/>
          <w:szCs w:val="30"/>
        </w:rPr>
        <w:t>步骤三：议题重要性的评估与确认</w:t>
      </w:r>
      <w:bookmarkEnd w:id="192"/>
      <w:bookmarkEnd w:id="193"/>
      <w:bookmarkEnd w:id="194"/>
      <w:bookmarkEnd w:id="195"/>
      <w:bookmarkEnd w:id="196"/>
      <w:bookmarkEnd w:id="197"/>
      <w:bookmarkEnd w:id="198"/>
      <w:bookmarkEnd w:id="199"/>
      <w:bookmarkEnd w:id="200"/>
      <w:bookmarkEnd w:id="201"/>
      <w:bookmarkEnd w:id="202"/>
      <w:bookmarkEnd w:id="203"/>
    </w:p>
    <w:p w14:paraId="7BE325EB">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szCs w:val="30"/>
          <w:lang w:bidi="ar"/>
        </w:rPr>
        <w:t>披露主体</w:t>
      </w:r>
      <w:r>
        <w:rPr>
          <w:rFonts w:hint="eastAsia" w:ascii="Times New Roman" w:hAnsi="Times New Roman" w:cs="Times New Roman"/>
          <w:kern w:val="0"/>
          <w:szCs w:val="30"/>
        </w:rPr>
        <w:t>可以结合自身所处行业和经营业务的特点等情况，判断步骤二议题清单中的议题是否具有财务重要性或影响重要性。评估重要性的方法包括定量分析和定性分析，公司可与利益相关方沟通，咨询相关的内外部专家。</w:t>
      </w:r>
    </w:p>
    <w:p w14:paraId="72F8B91B">
      <w:pPr>
        <w:widowControl/>
        <w:adjustRightInd w:val="0"/>
        <w:snapToGrid w:val="0"/>
        <w:spacing w:line="560" w:lineRule="exact"/>
        <w:ind w:firstLine="602" w:firstLineChars="200"/>
        <w:jc w:val="left"/>
        <w:rPr>
          <w:rFonts w:ascii="Times New Roman" w:hAnsi="Times New Roman" w:cs="Times New Roman"/>
          <w:b/>
          <w:bCs/>
          <w:kern w:val="0"/>
          <w:szCs w:val="30"/>
        </w:rPr>
      </w:pPr>
      <w:r>
        <w:rPr>
          <w:rFonts w:ascii="Times New Roman" w:hAnsi="Times New Roman" w:cs="Times New Roman"/>
          <w:b/>
          <w:bCs/>
          <w:kern w:val="0"/>
          <w:szCs w:val="30"/>
        </w:rPr>
        <w:t>1</w:t>
      </w:r>
      <w:r>
        <w:rPr>
          <w:rFonts w:hint="eastAsia" w:ascii="Times New Roman" w:hAnsi="Times New Roman" w:cs="Times New Roman"/>
          <w:b/>
          <w:bCs/>
          <w:kern w:val="0"/>
          <w:szCs w:val="30"/>
        </w:rPr>
        <w:t>、影响重要性评估</w:t>
      </w:r>
    </w:p>
    <w:p w14:paraId="780D9AFD">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kern w:val="0"/>
          <w:szCs w:val="30"/>
        </w:rPr>
        <w:t>影响重要性信息主要为满足受影响利益相关方的信息需求，旨在提供有助于评估公司经营外部性的可持续发展相关信息。影响重要性评估的具体流程可参考以下四个步骤进行。</w:t>
      </w:r>
    </w:p>
    <w:p w14:paraId="61592867">
      <w:pPr>
        <w:widowControl/>
        <w:adjustRightInd w:val="0"/>
        <w:snapToGrid w:val="0"/>
        <w:spacing w:line="560" w:lineRule="exact"/>
        <w:jc w:val="center"/>
        <w:rPr>
          <w:rFonts w:ascii="Times New Roman" w:hAnsi="Times New Roman" w:eastAsia="黑体" w:cs="Times New Roman"/>
          <w:sz w:val="24"/>
          <w:szCs w:val="24"/>
          <w:lang w:bidi="ar"/>
        </w:rPr>
      </w:pPr>
      <w:r>
        <w:rPr>
          <w:rFonts w:ascii="Times New Roman" w:hAnsi="Times New Roman" w:eastAsia="黑体" w:cs="Times New Roman"/>
          <w:sz w:val="24"/>
          <w:szCs w:val="24"/>
        </w:rPr>
        <w:drawing>
          <wp:anchor distT="0" distB="0" distL="114300" distR="114300" simplePos="0" relativeHeight="251659264" behindDoc="0" locked="0" layoutInCell="1" allowOverlap="1">
            <wp:simplePos x="0" y="0"/>
            <wp:positionH relativeFrom="margin">
              <wp:posOffset>0</wp:posOffset>
            </wp:positionH>
            <wp:positionV relativeFrom="paragraph">
              <wp:posOffset>390525</wp:posOffset>
            </wp:positionV>
            <wp:extent cx="5379085" cy="2423160"/>
            <wp:effectExtent l="0" t="0" r="0" b="0"/>
            <wp:wrapTopAndBottom/>
            <wp:docPr id="1749817385" name="图片 1" descr="日历&#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817385" name="图片 1" descr="日历&#10;&#10;描述已自动生成"/>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379085" cy="2423160"/>
                    </a:xfrm>
                    <a:prstGeom prst="rect">
                      <a:avLst/>
                    </a:prstGeom>
                    <a:noFill/>
                  </pic:spPr>
                </pic:pic>
              </a:graphicData>
            </a:graphic>
          </wp:anchor>
        </w:drawing>
      </w:r>
      <w:r>
        <w:rPr>
          <w:rFonts w:hint="eastAsia" w:ascii="Times New Roman" w:hAnsi="Times New Roman" w:eastAsia="黑体" w:cs="Times New Roman"/>
          <w:sz w:val="24"/>
          <w:szCs w:val="24"/>
          <w:lang w:bidi="ar"/>
        </w:rPr>
        <w:t>示例</w:t>
      </w:r>
      <w:r>
        <w:rPr>
          <w:rFonts w:ascii="Times New Roman" w:hAnsi="Times New Roman" w:eastAsia="黑体" w:cs="Times New Roman"/>
          <w:sz w:val="24"/>
          <w:szCs w:val="24"/>
          <w:lang w:bidi="ar"/>
        </w:rPr>
        <w:t xml:space="preserve">2: </w:t>
      </w:r>
      <w:r>
        <w:rPr>
          <w:rFonts w:hint="eastAsia" w:ascii="Times New Roman" w:hAnsi="Times New Roman" w:eastAsia="黑体" w:cs="Times New Roman"/>
          <w:sz w:val="24"/>
          <w:szCs w:val="24"/>
          <w:lang w:bidi="ar"/>
        </w:rPr>
        <w:t>影响重要性评估流程</w:t>
      </w:r>
    </w:p>
    <w:p w14:paraId="75AE76FF">
      <w:pPr>
        <w:widowControl/>
        <w:adjustRightInd w:val="0"/>
        <w:snapToGrid w:val="0"/>
        <w:spacing w:line="560" w:lineRule="exact"/>
        <w:ind w:firstLine="602" w:firstLineChars="200"/>
        <w:jc w:val="left"/>
        <w:rPr>
          <w:rFonts w:ascii="Times New Roman" w:hAnsi="Times New Roman" w:cs="Times New Roman"/>
          <w:b/>
          <w:kern w:val="0"/>
          <w:szCs w:val="30"/>
        </w:rPr>
      </w:pPr>
      <w:r>
        <w:rPr>
          <w:rFonts w:hint="eastAsia" w:ascii="Times New Roman" w:hAnsi="Times New Roman" w:cs="Times New Roman"/>
          <w:b/>
          <w:kern w:val="0"/>
          <w:szCs w:val="30"/>
        </w:rPr>
        <w:t>（1）</w:t>
      </w:r>
      <w:r>
        <w:rPr>
          <w:rFonts w:ascii="Times New Roman" w:hAnsi="Times New Roman" w:cs="Times New Roman"/>
          <w:b/>
          <w:kern w:val="0"/>
          <w:szCs w:val="30"/>
        </w:rPr>
        <w:t xml:space="preserve"> </w:t>
      </w:r>
      <w:r>
        <w:rPr>
          <w:rFonts w:hint="eastAsia" w:ascii="Times New Roman" w:hAnsi="Times New Roman" w:cs="Times New Roman"/>
          <w:b/>
          <w:kern w:val="0"/>
          <w:szCs w:val="30"/>
        </w:rPr>
        <w:t>影响重要性评估因素</w:t>
      </w:r>
    </w:p>
    <w:p w14:paraId="1D9C3284">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kern w:val="0"/>
          <w:szCs w:val="30"/>
        </w:rPr>
        <w:t>对于负面影响，实际的负面影响的重要性取决于影响的规模、范围和不可补救性，潜在的负面影响的重要性取决于影响的规模、范围、不可补救性和发生的可能性。</w:t>
      </w:r>
    </w:p>
    <w:p w14:paraId="1CB64B50">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kern w:val="0"/>
          <w:szCs w:val="30"/>
        </w:rPr>
        <w:t>对于正面影响，实际的正面影响的重要性取决于影响的规模和范围，潜在的正面影响的重要性取决于影响的规模、范围和发生的可能性。</w:t>
      </w:r>
    </w:p>
    <w:p w14:paraId="73B8A95E">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6</w:t>
      </w:r>
      <w:r>
        <w:rPr>
          <w:rFonts w:hint="eastAsia" w:ascii="Times New Roman" w:hAnsi="Times New Roman" w:eastAsia="黑体" w:cs="Times New Roman"/>
          <w:sz w:val="24"/>
          <w:szCs w:val="24"/>
          <w:lang w:bidi="ar"/>
        </w:rPr>
        <w:t>：影响重要性评估因素定义与说明</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1"/>
        <w:gridCol w:w="6161"/>
      </w:tblGrid>
      <w:tr w14:paraId="1493C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trPr>
        <w:tc>
          <w:tcPr>
            <w:tcW w:w="1385" w:type="pct"/>
            <w:vAlign w:val="center"/>
          </w:tcPr>
          <w:p w14:paraId="09913FA7">
            <w:pPr>
              <w:widowControl/>
              <w:adjustRightInd w:val="0"/>
              <w:snapToGrid w:val="0"/>
              <w:spacing w:line="560" w:lineRule="exact"/>
              <w:jc w:val="center"/>
              <w:rPr>
                <w:rFonts w:ascii="Times New Roman" w:hAnsi="Times New Roman" w:cs="Times New Roman"/>
                <w:b/>
                <w:bCs/>
                <w:iCs/>
                <w:kern w:val="0"/>
                <w:sz w:val="24"/>
                <w:szCs w:val="24"/>
              </w:rPr>
            </w:pPr>
            <w:r>
              <w:rPr>
                <w:rFonts w:hint="eastAsia" w:ascii="Times New Roman" w:hAnsi="Times New Roman" w:cs="Times New Roman"/>
                <w:b/>
                <w:bCs/>
                <w:iCs/>
                <w:kern w:val="0"/>
                <w:sz w:val="24"/>
                <w:szCs w:val="24"/>
              </w:rPr>
              <w:t>因素</w:t>
            </w:r>
          </w:p>
        </w:tc>
        <w:tc>
          <w:tcPr>
            <w:tcW w:w="3614" w:type="pct"/>
            <w:vAlign w:val="center"/>
          </w:tcPr>
          <w:p w14:paraId="7C77B2A2">
            <w:pPr>
              <w:widowControl/>
              <w:adjustRightInd w:val="0"/>
              <w:snapToGrid w:val="0"/>
              <w:spacing w:line="560" w:lineRule="exact"/>
              <w:jc w:val="center"/>
              <w:rPr>
                <w:rFonts w:ascii="Times New Roman" w:hAnsi="Times New Roman" w:cs="Times New Roman"/>
                <w:b/>
                <w:bCs/>
                <w:iCs/>
                <w:kern w:val="0"/>
                <w:sz w:val="24"/>
                <w:szCs w:val="24"/>
              </w:rPr>
            </w:pPr>
            <w:r>
              <w:rPr>
                <w:rFonts w:hint="eastAsia" w:ascii="Times New Roman" w:hAnsi="Times New Roman" w:cs="Times New Roman"/>
                <w:b/>
                <w:bCs/>
                <w:iCs/>
                <w:kern w:val="0"/>
                <w:sz w:val="24"/>
                <w:szCs w:val="24"/>
              </w:rPr>
              <w:t>定义与说明</w:t>
            </w:r>
          </w:p>
        </w:tc>
      </w:tr>
      <w:tr w14:paraId="6B25F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5" w:type="pct"/>
            <w:vAlign w:val="center"/>
          </w:tcPr>
          <w:p w14:paraId="4B19C0B7">
            <w:pPr>
              <w:widowControl/>
              <w:adjustRightInd w:val="0"/>
              <w:snapToGrid w:val="0"/>
              <w:spacing w:line="560" w:lineRule="exact"/>
              <w:jc w:val="center"/>
              <w:rPr>
                <w:rFonts w:ascii="Times New Roman" w:hAnsi="Times New Roman" w:cs="Times New Roman"/>
                <w:iCs/>
                <w:kern w:val="0"/>
                <w:sz w:val="24"/>
                <w:szCs w:val="24"/>
              </w:rPr>
            </w:pPr>
            <w:r>
              <w:rPr>
                <w:rFonts w:hint="eastAsia" w:ascii="Times New Roman" w:hAnsi="Times New Roman" w:cs="Times New Roman"/>
                <w:iCs/>
                <w:kern w:val="0"/>
                <w:sz w:val="24"/>
                <w:szCs w:val="24"/>
              </w:rPr>
              <w:t>规模</w:t>
            </w:r>
          </w:p>
        </w:tc>
        <w:tc>
          <w:tcPr>
            <w:tcW w:w="3614" w:type="pct"/>
            <w:vAlign w:val="center"/>
          </w:tcPr>
          <w:p w14:paraId="57CF3DC1">
            <w:pPr>
              <w:widowControl/>
              <w:numPr>
                <w:ilvl w:val="255"/>
                <w:numId w:val="0"/>
              </w:numPr>
              <w:tabs>
                <w:tab w:val="left" w:pos="3016"/>
              </w:tabs>
              <w:adjustRightInd w:val="0"/>
              <w:snapToGrid w:val="0"/>
              <w:rPr>
                <w:rFonts w:ascii="Times New Roman" w:hAnsi="Times New Roman" w:cs="Times New Roman"/>
                <w:iCs/>
                <w:kern w:val="0"/>
                <w:sz w:val="24"/>
                <w:szCs w:val="24"/>
              </w:rPr>
            </w:pPr>
            <w:r>
              <w:rPr>
                <w:rFonts w:hint="eastAsia" w:ascii="Times New Roman" w:hAnsi="Times New Roman" w:cs="Times New Roman"/>
                <w:iCs/>
                <w:kern w:val="0"/>
                <w:sz w:val="24"/>
                <w:szCs w:val="24"/>
              </w:rPr>
              <w:t>影响的大小程度。对于负面影响，其影响规模可能取决于是否导致公司违反应当遵守的法律法规等，也可能取决于影响发生的背景。对于正面影响，其影响规模</w:t>
            </w:r>
            <w:r>
              <w:rPr>
                <w:rFonts w:ascii="Times New Roman" w:hAnsi="Times New Roman" w:cs="Times New Roman"/>
                <w:iCs/>
                <w:kern w:val="0"/>
                <w:sz w:val="24"/>
                <w:szCs w:val="24"/>
              </w:rPr>
              <w:t>是指</w:t>
            </w:r>
            <w:r>
              <w:rPr>
                <w:rFonts w:hint="eastAsia" w:ascii="Times New Roman" w:hAnsi="Times New Roman" w:cs="Times New Roman"/>
                <w:iCs/>
                <w:kern w:val="0"/>
                <w:sz w:val="24"/>
                <w:szCs w:val="24"/>
              </w:rPr>
              <w:t>有益或可能有益的程度。</w:t>
            </w:r>
          </w:p>
        </w:tc>
      </w:tr>
      <w:tr w14:paraId="6F69B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5" w:type="pct"/>
            <w:vAlign w:val="center"/>
          </w:tcPr>
          <w:p w14:paraId="1F162542">
            <w:pPr>
              <w:widowControl/>
              <w:adjustRightInd w:val="0"/>
              <w:snapToGrid w:val="0"/>
              <w:spacing w:line="560" w:lineRule="exact"/>
              <w:jc w:val="center"/>
              <w:rPr>
                <w:rFonts w:ascii="Times New Roman" w:hAnsi="Times New Roman" w:cs="Times New Roman"/>
                <w:iCs/>
                <w:kern w:val="0"/>
                <w:sz w:val="24"/>
                <w:szCs w:val="24"/>
              </w:rPr>
            </w:pPr>
            <w:r>
              <w:rPr>
                <w:rFonts w:hint="eastAsia" w:ascii="Times New Roman" w:hAnsi="Times New Roman" w:cs="Times New Roman"/>
                <w:iCs/>
                <w:kern w:val="0"/>
                <w:sz w:val="24"/>
                <w:szCs w:val="24"/>
              </w:rPr>
              <w:t>范围</w:t>
            </w:r>
          </w:p>
        </w:tc>
        <w:tc>
          <w:tcPr>
            <w:tcW w:w="3614" w:type="pct"/>
            <w:vAlign w:val="center"/>
          </w:tcPr>
          <w:p w14:paraId="5791A5BC">
            <w:pPr>
              <w:widowControl/>
              <w:numPr>
                <w:ilvl w:val="255"/>
                <w:numId w:val="0"/>
              </w:numPr>
              <w:tabs>
                <w:tab w:val="left" w:pos="3016"/>
              </w:tabs>
              <w:adjustRightInd w:val="0"/>
              <w:snapToGrid w:val="0"/>
              <w:rPr>
                <w:rFonts w:ascii="Times New Roman" w:hAnsi="Times New Roman" w:cs="Times New Roman"/>
                <w:iCs/>
                <w:kern w:val="0"/>
                <w:sz w:val="24"/>
                <w:szCs w:val="24"/>
              </w:rPr>
            </w:pPr>
            <w:r>
              <w:rPr>
                <w:rFonts w:hint="eastAsia" w:ascii="Times New Roman" w:hAnsi="Times New Roman" w:cs="Times New Roman"/>
                <w:iCs/>
                <w:kern w:val="0"/>
                <w:sz w:val="24"/>
                <w:szCs w:val="24"/>
              </w:rPr>
              <w:t>影响的广泛程度。对于负面影响，其范围例如受影响的个人数量或环境破坏的区域范围。对于正面影响，其范围例如受到或可能受到正面影响的个人数量或环境资源范围。</w:t>
            </w:r>
          </w:p>
        </w:tc>
      </w:tr>
      <w:tr w14:paraId="2644B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5" w:type="pct"/>
            <w:vAlign w:val="center"/>
          </w:tcPr>
          <w:p w14:paraId="6E37F198">
            <w:pPr>
              <w:widowControl/>
              <w:adjustRightInd w:val="0"/>
              <w:snapToGrid w:val="0"/>
              <w:spacing w:line="560" w:lineRule="exact"/>
              <w:jc w:val="center"/>
              <w:rPr>
                <w:rFonts w:ascii="Times New Roman" w:hAnsi="Times New Roman" w:cs="Times New Roman"/>
                <w:iCs/>
                <w:kern w:val="0"/>
                <w:sz w:val="24"/>
                <w:szCs w:val="24"/>
              </w:rPr>
            </w:pPr>
            <w:r>
              <w:rPr>
                <w:rFonts w:hint="eastAsia" w:ascii="Times New Roman" w:hAnsi="Times New Roman" w:cs="Times New Roman"/>
                <w:iCs/>
                <w:kern w:val="0"/>
                <w:sz w:val="24"/>
                <w:szCs w:val="24"/>
              </w:rPr>
              <w:t>不可补救性</w:t>
            </w:r>
          </w:p>
        </w:tc>
        <w:tc>
          <w:tcPr>
            <w:tcW w:w="3614" w:type="pct"/>
            <w:vAlign w:val="center"/>
          </w:tcPr>
          <w:p w14:paraId="14D9E66B">
            <w:pPr>
              <w:widowControl/>
              <w:numPr>
                <w:ilvl w:val="255"/>
                <w:numId w:val="0"/>
              </w:numPr>
              <w:tabs>
                <w:tab w:val="left" w:pos="3016"/>
              </w:tabs>
              <w:adjustRightInd w:val="0"/>
              <w:snapToGrid w:val="0"/>
              <w:rPr>
                <w:rFonts w:ascii="Times New Roman" w:hAnsi="Times New Roman" w:cs="Times New Roman"/>
                <w:iCs/>
                <w:kern w:val="0"/>
                <w:sz w:val="24"/>
                <w:szCs w:val="24"/>
              </w:rPr>
            </w:pPr>
            <w:r>
              <w:rPr>
                <w:rFonts w:hint="eastAsia" w:ascii="Times New Roman" w:hAnsi="Times New Roman" w:cs="Times New Roman"/>
                <w:iCs/>
                <w:kern w:val="0"/>
                <w:sz w:val="24"/>
                <w:szCs w:val="24"/>
              </w:rPr>
              <w:t>对于负面影响，其不可补救性是指抵消或弥补伤害的难度。</w:t>
            </w:r>
          </w:p>
        </w:tc>
      </w:tr>
      <w:tr w14:paraId="27B86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5" w:type="pct"/>
            <w:vAlign w:val="center"/>
          </w:tcPr>
          <w:p w14:paraId="09FB68A5">
            <w:pPr>
              <w:widowControl/>
              <w:adjustRightInd w:val="0"/>
              <w:snapToGrid w:val="0"/>
              <w:spacing w:line="560" w:lineRule="exact"/>
              <w:jc w:val="center"/>
              <w:rPr>
                <w:rFonts w:ascii="Times New Roman" w:hAnsi="Times New Roman" w:cs="Times New Roman"/>
                <w:iCs/>
                <w:kern w:val="0"/>
                <w:sz w:val="24"/>
                <w:szCs w:val="24"/>
              </w:rPr>
            </w:pPr>
            <w:r>
              <w:rPr>
                <w:rFonts w:hint="eastAsia" w:ascii="Times New Roman" w:hAnsi="Times New Roman" w:cs="Times New Roman"/>
                <w:iCs/>
                <w:kern w:val="0"/>
                <w:sz w:val="24"/>
                <w:szCs w:val="24"/>
              </w:rPr>
              <w:t>可能性</w:t>
            </w:r>
          </w:p>
        </w:tc>
        <w:tc>
          <w:tcPr>
            <w:tcW w:w="3614" w:type="pct"/>
            <w:vAlign w:val="center"/>
          </w:tcPr>
          <w:p w14:paraId="63303648">
            <w:pPr>
              <w:widowControl/>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iCs/>
                <w:kern w:val="0"/>
                <w:sz w:val="24"/>
                <w:szCs w:val="24"/>
              </w:rPr>
              <w:t>1.</w:t>
            </w:r>
            <w:r>
              <w:rPr>
                <w:rFonts w:hint="eastAsia" w:ascii="Times New Roman" w:hAnsi="Times New Roman" w:cs="Times New Roman"/>
                <w:iCs/>
                <w:kern w:val="0"/>
                <w:sz w:val="24"/>
                <w:szCs w:val="24"/>
              </w:rPr>
              <w:t>潜在负面影响或正面影响的可能性是指负面影响或正面影响发生的概率。</w:t>
            </w:r>
          </w:p>
          <w:p w14:paraId="7FE8AF41">
            <w:pPr>
              <w:widowControl/>
              <w:tabs>
                <w:tab w:val="left" w:pos="3016"/>
              </w:tabs>
              <w:adjustRightInd w:val="0"/>
              <w:snapToGrid w:val="0"/>
              <w:rPr>
                <w:rFonts w:ascii="Times New Roman" w:hAnsi="Times New Roman" w:cs="Times New Roman"/>
                <w:iCs/>
                <w:kern w:val="0"/>
                <w:sz w:val="24"/>
                <w:szCs w:val="24"/>
              </w:rPr>
            </w:pPr>
            <w:r>
              <w:rPr>
                <w:rFonts w:ascii="Times New Roman" w:hAnsi="Times New Roman" w:cs="Times New Roman"/>
                <w:iCs/>
                <w:kern w:val="0"/>
                <w:sz w:val="24"/>
                <w:szCs w:val="24"/>
              </w:rPr>
              <w:t>2.</w:t>
            </w:r>
            <w:r>
              <w:rPr>
                <w:rFonts w:hint="eastAsia" w:ascii="Times New Roman" w:hAnsi="Times New Roman" w:cs="Times New Roman"/>
                <w:iCs/>
                <w:kern w:val="0"/>
                <w:sz w:val="24"/>
                <w:szCs w:val="24"/>
              </w:rPr>
              <w:t>影响的可能性可以定性衡量（例如，采用“非常有可能”、“很可能”、“一般可能”、“不可能”等的一般术语；采用“每年一次”、“三年一次”、“五年一次”等频率）或定量衡量（例如，采用</w:t>
            </w:r>
            <w:r>
              <w:rPr>
                <w:rFonts w:ascii="Times New Roman" w:hAnsi="Times New Roman" w:cs="Times New Roman"/>
                <w:iCs/>
                <w:kern w:val="0"/>
                <w:sz w:val="24"/>
                <w:szCs w:val="24"/>
              </w:rPr>
              <w:t>0-100%</w:t>
            </w:r>
            <w:r>
              <w:rPr>
                <w:rFonts w:hint="eastAsia" w:ascii="Times New Roman" w:hAnsi="Times New Roman" w:cs="Times New Roman"/>
                <w:iCs/>
                <w:kern w:val="0"/>
                <w:sz w:val="24"/>
                <w:szCs w:val="24"/>
              </w:rPr>
              <w:t>的概率法）。</w:t>
            </w:r>
          </w:p>
        </w:tc>
      </w:tr>
    </w:tbl>
    <w:p w14:paraId="1F14B77E">
      <w:pPr>
        <w:widowControl/>
        <w:adjustRightInd w:val="0"/>
        <w:snapToGrid w:val="0"/>
        <w:spacing w:before="156" w:beforeLines="50"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7</w:t>
      </w:r>
      <w:r>
        <w:rPr>
          <w:rFonts w:hint="eastAsia" w:ascii="Times New Roman" w:hAnsi="Times New Roman" w:eastAsia="黑体" w:cs="Times New Roman"/>
          <w:sz w:val="24"/>
          <w:szCs w:val="24"/>
          <w:lang w:bidi="ar"/>
        </w:rPr>
        <w:t>：负面影响重要性评估因素打分示例</w:t>
      </w:r>
    </w:p>
    <w:tbl>
      <w:tblPr>
        <w:tblStyle w:val="79"/>
        <w:tblW w:w="5001"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9"/>
        <w:gridCol w:w="819"/>
        <w:gridCol w:w="955"/>
        <w:gridCol w:w="862"/>
        <w:gridCol w:w="1989"/>
        <w:gridCol w:w="805"/>
        <w:gridCol w:w="1123"/>
        <w:gridCol w:w="772"/>
      </w:tblGrid>
      <w:tr w14:paraId="12A2C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trPr>
        <w:tc>
          <w:tcPr>
            <w:tcW w:w="703" w:type="pct"/>
            <w:tcBorders>
              <w:top w:val="single" w:color="auto" w:sz="4" w:space="0"/>
              <w:left w:val="single" w:color="auto" w:sz="4" w:space="0"/>
              <w:bottom w:val="single" w:color="auto" w:sz="4" w:space="0"/>
              <w:right w:val="single" w:color="auto" w:sz="4" w:space="0"/>
            </w:tcBorders>
            <w:shd w:val="clear" w:color="auto" w:fill="DEEBF6"/>
            <w:vAlign w:val="center"/>
          </w:tcPr>
          <w:p w14:paraId="18026305">
            <w:pPr>
              <w:widowControl/>
              <w:jc w:val="center"/>
              <w:rPr>
                <w:rFonts w:ascii="Times New Roman" w:hAnsi="Times New Roman" w:eastAsia="Times New Roman" w:cs="Times New Roman"/>
                <w:b/>
                <w:bCs/>
                <w:kern w:val="0"/>
                <w:sz w:val="24"/>
                <w:szCs w:val="24"/>
              </w:rPr>
            </w:pPr>
            <w:r>
              <w:rPr>
                <w:rFonts w:hint="eastAsia" w:ascii="Times New Roman" w:hAnsi="Times New Roman" w:cs="Times New Roman"/>
                <w:b/>
                <w:bCs/>
                <w:kern w:val="0"/>
                <w:sz w:val="24"/>
                <w:szCs w:val="24"/>
              </w:rPr>
              <w:t>规模</w:t>
            </w:r>
          </w:p>
        </w:tc>
        <w:tc>
          <w:tcPr>
            <w:tcW w:w="480" w:type="pct"/>
            <w:tcBorders>
              <w:top w:val="single" w:color="auto" w:sz="4" w:space="0"/>
              <w:left w:val="single" w:color="auto" w:sz="4" w:space="0"/>
              <w:bottom w:val="single" w:color="auto" w:sz="4" w:space="0"/>
              <w:right w:val="single" w:color="auto" w:sz="4" w:space="0"/>
            </w:tcBorders>
            <w:shd w:val="clear" w:color="auto" w:fill="auto"/>
            <w:vAlign w:val="center"/>
          </w:tcPr>
          <w:p w14:paraId="2A871E83">
            <w:pPr>
              <w:widowControl/>
              <w:jc w:val="center"/>
              <w:rPr>
                <w:rFonts w:ascii="Times New Roman" w:hAnsi="Times New Roman" w:eastAsia="Times New Roman" w:cs="Times New Roman"/>
                <w:b/>
                <w:bCs/>
                <w:kern w:val="0"/>
                <w:sz w:val="24"/>
                <w:szCs w:val="24"/>
              </w:rPr>
            </w:pPr>
            <w:r>
              <w:rPr>
                <w:rFonts w:hint="eastAsia" w:ascii="Times New Roman" w:hAnsi="Times New Roman" w:cs="Times New Roman"/>
                <w:b/>
                <w:bCs/>
                <w:kern w:val="0"/>
                <w:sz w:val="24"/>
                <w:szCs w:val="24"/>
              </w:rPr>
              <w:t>量化打分</w:t>
            </w:r>
          </w:p>
        </w:tc>
        <w:tc>
          <w:tcPr>
            <w:tcW w:w="560" w:type="pct"/>
            <w:tcBorders>
              <w:top w:val="single" w:color="auto" w:sz="4" w:space="0"/>
              <w:left w:val="single" w:color="auto" w:sz="4" w:space="0"/>
              <w:bottom w:val="single" w:color="auto" w:sz="4" w:space="0"/>
              <w:right w:val="single" w:color="auto" w:sz="4" w:space="0"/>
            </w:tcBorders>
            <w:shd w:val="clear" w:color="auto" w:fill="DEEBF6"/>
            <w:vAlign w:val="center"/>
          </w:tcPr>
          <w:p w14:paraId="684A1668">
            <w:pPr>
              <w:widowControl/>
              <w:jc w:val="center"/>
              <w:rPr>
                <w:rFonts w:ascii="Times New Roman" w:hAnsi="Times New Roman" w:eastAsia="Times New Roman" w:cs="Times New Roman"/>
                <w:b/>
                <w:bCs/>
                <w:kern w:val="0"/>
                <w:sz w:val="24"/>
                <w:szCs w:val="24"/>
              </w:rPr>
            </w:pPr>
            <w:r>
              <w:rPr>
                <w:rFonts w:hint="eastAsia" w:ascii="Times New Roman" w:hAnsi="Times New Roman" w:cs="Times New Roman"/>
                <w:b/>
                <w:bCs/>
                <w:kern w:val="0"/>
                <w:sz w:val="24"/>
                <w:szCs w:val="24"/>
              </w:rPr>
              <w:t>范围</w:t>
            </w:r>
          </w:p>
        </w:tc>
        <w:tc>
          <w:tcPr>
            <w:tcW w:w="505" w:type="pct"/>
            <w:tcBorders>
              <w:top w:val="single" w:color="auto" w:sz="4" w:space="0"/>
              <w:left w:val="single" w:color="auto" w:sz="4" w:space="0"/>
              <w:bottom w:val="single" w:color="auto" w:sz="4" w:space="0"/>
              <w:right w:val="single" w:color="auto" w:sz="4" w:space="0"/>
            </w:tcBorders>
            <w:shd w:val="clear" w:color="auto" w:fill="auto"/>
            <w:vAlign w:val="center"/>
          </w:tcPr>
          <w:p w14:paraId="130A89E2">
            <w:pPr>
              <w:widowControl/>
              <w:jc w:val="center"/>
              <w:rPr>
                <w:rFonts w:ascii="Times New Roman" w:hAnsi="Times New Roman" w:eastAsia="Times New Roman" w:cs="Times New Roman"/>
                <w:b/>
                <w:bCs/>
                <w:kern w:val="0"/>
                <w:sz w:val="24"/>
                <w:szCs w:val="24"/>
              </w:rPr>
            </w:pPr>
            <w:r>
              <w:rPr>
                <w:rFonts w:hint="eastAsia" w:ascii="Times New Roman" w:hAnsi="Times New Roman" w:cs="Times New Roman"/>
                <w:b/>
                <w:bCs/>
                <w:kern w:val="0"/>
                <w:sz w:val="24"/>
                <w:szCs w:val="24"/>
              </w:rPr>
              <w:t>量化打分</w:t>
            </w:r>
          </w:p>
        </w:tc>
        <w:tc>
          <w:tcPr>
            <w:tcW w:w="1166" w:type="pct"/>
            <w:tcBorders>
              <w:top w:val="single" w:color="auto" w:sz="4" w:space="0"/>
              <w:left w:val="single" w:color="auto" w:sz="4" w:space="0"/>
              <w:bottom w:val="single" w:color="auto" w:sz="4" w:space="0"/>
              <w:right w:val="single" w:color="auto" w:sz="4" w:space="0"/>
            </w:tcBorders>
            <w:shd w:val="clear" w:color="auto" w:fill="DEEBF6"/>
            <w:vAlign w:val="center"/>
          </w:tcPr>
          <w:p w14:paraId="7DAEE253">
            <w:pPr>
              <w:widowControl/>
              <w:jc w:val="center"/>
              <w:rPr>
                <w:rFonts w:ascii="Times New Roman" w:hAnsi="Times New Roman" w:eastAsia="Times New Roman" w:cs="Times New Roman"/>
                <w:b/>
                <w:bCs/>
                <w:kern w:val="0"/>
                <w:sz w:val="24"/>
                <w:szCs w:val="24"/>
              </w:rPr>
            </w:pPr>
            <w:r>
              <w:rPr>
                <w:rFonts w:hint="eastAsia" w:ascii="Times New Roman" w:hAnsi="Times New Roman" w:cs="Times New Roman"/>
                <w:b/>
                <w:bCs/>
                <w:kern w:val="0"/>
                <w:sz w:val="24"/>
                <w:szCs w:val="24"/>
              </w:rPr>
              <w:t>不可补救性</w:t>
            </w:r>
          </w:p>
        </w:tc>
        <w:tc>
          <w:tcPr>
            <w:tcW w:w="472" w:type="pct"/>
            <w:tcBorders>
              <w:top w:val="single" w:color="auto" w:sz="4" w:space="0"/>
              <w:left w:val="single" w:color="auto" w:sz="4" w:space="0"/>
              <w:bottom w:val="single" w:color="auto" w:sz="4" w:space="0"/>
              <w:right w:val="single" w:color="auto" w:sz="4" w:space="0"/>
            </w:tcBorders>
            <w:shd w:val="clear" w:color="auto" w:fill="auto"/>
            <w:vAlign w:val="center"/>
          </w:tcPr>
          <w:p w14:paraId="647042D5">
            <w:pPr>
              <w:widowControl/>
              <w:jc w:val="center"/>
              <w:rPr>
                <w:rFonts w:ascii="Times New Roman" w:hAnsi="Times New Roman" w:eastAsia="Times New Roman" w:cs="Times New Roman"/>
                <w:b/>
                <w:bCs/>
                <w:kern w:val="0"/>
                <w:sz w:val="24"/>
                <w:szCs w:val="24"/>
              </w:rPr>
            </w:pPr>
            <w:r>
              <w:rPr>
                <w:rFonts w:hint="eastAsia" w:ascii="Times New Roman" w:hAnsi="Times New Roman" w:cs="Times New Roman"/>
                <w:b/>
                <w:bCs/>
                <w:kern w:val="0"/>
                <w:sz w:val="24"/>
                <w:szCs w:val="24"/>
              </w:rPr>
              <w:t>量化打分</w:t>
            </w:r>
          </w:p>
        </w:tc>
        <w:tc>
          <w:tcPr>
            <w:tcW w:w="658" w:type="pct"/>
            <w:tcBorders>
              <w:top w:val="single" w:color="auto" w:sz="4" w:space="0"/>
              <w:left w:val="single" w:color="auto" w:sz="4" w:space="0"/>
              <w:bottom w:val="single" w:color="auto" w:sz="4" w:space="0"/>
              <w:right w:val="single" w:color="auto" w:sz="4" w:space="0"/>
            </w:tcBorders>
            <w:shd w:val="clear" w:color="auto" w:fill="DEEBF6"/>
            <w:vAlign w:val="center"/>
          </w:tcPr>
          <w:p w14:paraId="1E235E89">
            <w:pPr>
              <w:widowControl/>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可能性</w:t>
            </w:r>
          </w:p>
        </w:tc>
        <w:tc>
          <w:tcPr>
            <w:tcW w:w="452" w:type="pct"/>
            <w:tcBorders>
              <w:top w:val="single" w:color="auto" w:sz="4" w:space="0"/>
              <w:left w:val="single" w:color="auto" w:sz="4" w:space="0"/>
              <w:bottom w:val="single" w:color="auto" w:sz="4" w:space="0"/>
              <w:right w:val="single" w:color="auto" w:sz="4" w:space="0"/>
            </w:tcBorders>
            <w:vAlign w:val="center"/>
          </w:tcPr>
          <w:p w14:paraId="5ED1BC8C">
            <w:pPr>
              <w:widowControl/>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量化打分</w:t>
            </w:r>
          </w:p>
        </w:tc>
      </w:tr>
      <w:tr w14:paraId="68DF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5" w:hRule="atLeast"/>
        </w:trPr>
        <w:tc>
          <w:tcPr>
            <w:tcW w:w="703" w:type="pct"/>
            <w:tcBorders>
              <w:top w:val="single" w:color="auto" w:sz="4" w:space="0"/>
              <w:left w:val="single" w:color="auto" w:sz="4" w:space="0"/>
              <w:bottom w:val="single" w:color="auto" w:sz="4" w:space="0"/>
              <w:right w:val="single" w:color="auto" w:sz="4" w:space="0"/>
            </w:tcBorders>
            <w:shd w:val="clear" w:color="auto" w:fill="DEEBF6"/>
            <w:vAlign w:val="center"/>
          </w:tcPr>
          <w:p w14:paraId="1017469D">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无</w:t>
            </w:r>
          </w:p>
        </w:tc>
        <w:tc>
          <w:tcPr>
            <w:tcW w:w="480" w:type="pct"/>
            <w:tcBorders>
              <w:top w:val="single" w:color="auto" w:sz="4" w:space="0"/>
              <w:left w:val="single" w:color="auto" w:sz="4" w:space="0"/>
              <w:bottom w:val="single" w:color="auto" w:sz="4" w:space="0"/>
              <w:right w:val="single" w:color="auto" w:sz="4" w:space="0"/>
            </w:tcBorders>
            <w:vAlign w:val="center"/>
          </w:tcPr>
          <w:p w14:paraId="04ADF29D">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0</w:t>
            </w:r>
          </w:p>
        </w:tc>
        <w:tc>
          <w:tcPr>
            <w:tcW w:w="560" w:type="pct"/>
            <w:tcBorders>
              <w:top w:val="single" w:color="auto" w:sz="4" w:space="0"/>
              <w:left w:val="single" w:color="auto" w:sz="4" w:space="0"/>
              <w:bottom w:val="single" w:color="auto" w:sz="4" w:space="0"/>
              <w:right w:val="single" w:color="auto" w:sz="4" w:space="0"/>
            </w:tcBorders>
            <w:shd w:val="clear" w:color="auto" w:fill="DEEBF6"/>
            <w:vAlign w:val="center"/>
          </w:tcPr>
          <w:p w14:paraId="29A9D270">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无</w:t>
            </w:r>
          </w:p>
        </w:tc>
        <w:tc>
          <w:tcPr>
            <w:tcW w:w="505" w:type="pct"/>
            <w:tcBorders>
              <w:top w:val="single" w:color="auto" w:sz="4" w:space="0"/>
              <w:left w:val="single" w:color="auto" w:sz="4" w:space="0"/>
              <w:bottom w:val="single" w:color="auto" w:sz="4" w:space="0"/>
              <w:right w:val="single" w:color="auto" w:sz="4" w:space="0"/>
            </w:tcBorders>
            <w:vAlign w:val="center"/>
          </w:tcPr>
          <w:p w14:paraId="6461137C">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0</w:t>
            </w:r>
          </w:p>
        </w:tc>
        <w:tc>
          <w:tcPr>
            <w:tcW w:w="1166" w:type="pct"/>
            <w:tcBorders>
              <w:top w:val="single" w:color="auto" w:sz="4" w:space="0"/>
              <w:left w:val="single" w:color="auto" w:sz="4" w:space="0"/>
              <w:bottom w:val="single" w:color="auto" w:sz="4" w:space="0"/>
              <w:right w:val="single" w:color="auto" w:sz="4" w:space="0"/>
            </w:tcBorders>
            <w:shd w:val="clear" w:color="auto" w:fill="DEEBF6"/>
            <w:vAlign w:val="center"/>
          </w:tcPr>
          <w:p w14:paraId="12B01B1B">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很容易补救</w:t>
            </w:r>
          </w:p>
        </w:tc>
        <w:tc>
          <w:tcPr>
            <w:tcW w:w="472" w:type="pct"/>
            <w:tcBorders>
              <w:top w:val="single" w:color="auto" w:sz="4" w:space="0"/>
              <w:left w:val="single" w:color="auto" w:sz="4" w:space="0"/>
              <w:bottom w:val="single" w:color="auto" w:sz="4" w:space="0"/>
              <w:right w:val="single" w:color="auto" w:sz="4" w:space="0"/>
            </w:tcBorders>
            <w:vAlign w:val="center"/>
          </w:tcPr>
          <w:p w14:paraId="7AA2D0AE">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0</w:t>
            </w:r>
          </w:p>
        </w:tc>
        <w:tc>
          <w:tcPr>
            <w:tcW w:w="658" w:type="pct"/>
            <w:tcBorders>
              <w:top w:val="single" w:color="auto" w:sz="4" w:space="0"/>
              <w:left w:val="single" w:color="auto" w:sz="4" w:space="0"/>
              <w:bottom w:val="single" w:color="auto" w:sz="4" w:space="0"/>
              <w:right w:val="single" w:color="auto" w:sz="4" w:space="0"/>
            </w:tcBorders>
            <w:shd w:val="clear" w:color="auto" w:fill="DEEBF6"/>
            <w:vAlign w:val="center"/>
          </w:tcPr>
          <w:p w14:paraId="649EEB98">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不可能</w:t>
            </w:r>
          </w:p>
        </w:tc>
        <w:tc>
          <w:tcPr>
            <w:tcW w:w="452" w:type="pct"/>
            <w:tcBorders>
              <w:top w:val="single" w:color="auto" w:sz="4" w:space="0"/>
              <w:left w:val="single" w:color="auto" w:sz="4" w:space="0"/>
              <w:bottom w:val="single" w:color="auto" w:sz="4" w:space="0"/>
              <w:right w:val="single" w:color="auto" w:sz="4" w:space="0"/>
            </w:tcBorders>
            <w:vAlign w:val="center"/>
          </w:tcPr>
          <w:p w14:paraId="21463904">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0</w:t>
            </w:r>
          </w:p>
        </w:tc>
      </w:tr>
      <w:tr w14:paraId="7C207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3" w:type="pct"/>
            <w:tcBorders>
              <w:top w:val="single" w:color="auto" w:sz="4" w:space="0"/>
              <w:left w:val="single" w:color="auto" w:sz="4" w:space="0"/>
              <w:bottom w:val="single" w:color="auto" w:sz="4" w:space="0"/>
              <w:right w:val="single" w:color="auto" w:sz="4" w:space="0"/>
            </w:tcBorders>
            <w:shd w:val="clear" w:color="auto" w:fill="DEEBF6"/>
            <w:vAlign w:val="center"/>
          </w:tcPr>
          <w:p w14:paraId="1BC6AB72">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极小</w:t>
            </w:r>
          </w:p>
        </w:tc>
        <w:tc>
          <w:tcPr>
            <w:tcW w:w="480" w:type="pct"/>
            <w:tcBorders>
              <w:top w:val="single" w:color="auto" w:sz="4" w:space="0"/>
              <w:left w:val="single" w:color="auto" w:sz="4" w:space="0"/>
              <w:bottom w:val="single" w:color="auto" w:sz="4" w:space="0"/>
              <w:right w:val="single" w:color="auto" w:sz="4" w:space="0"/>
            </w:tcBorders>
            <w:vAlign w:val="center"/>
          </w:tcPr>
          <w:p w14:paraId="67BB52EC">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1</w:t>
            </w:r>
          </w:p>
        </w:tc>
        <w:tc>
          <w:tcPr>
            <w:tcW w:w="560" w:type="pct"/>
            <w:tcBorders>
              <w:top w:val="single" w:color="auto" w:sz="4" w:space="0"/>
              <w:left w:val="single" w:color="auto" w:sz="4" w:space="0"/>
              <w:bottom w:val="single" w:color="auto" w:sz="4" w:space="0"/>
              <w:right w:val="single" w:color="auto" w:sz="4" w:space="0"/>
            </w:tcBorders>
            <w:shd w:val="clear" w:color="auto" w:fill="DEEBF6"/>
            <w:vAlign w:val="center"/>
          </w:tcPr>
          <w:p w14:paraId="3DB12FF5">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有限</w:t>
            </w:r>
          </w:p>
        </w:tc>
        <w:tc>
          <w:tcPr>
            <w:tcW w:w="505" w:type="pct"/>
            <w:tcBorders>
              <w:top w:val="single" w:color="auto" w:sz="4" w:space="0"/>
              <w:left w:val="single" w:color="auto" w:sz="4" w:space="0"/>
              <w:bottom w:val="single" w:color="auto" w:sz="4" w:space="0"/>
              <w:right w:val="single" w:color="auto" w:sz="4" w:space="0"/>
            </w:tcBorders>
            <w:vAlign w:val="center"/>
          </w:tcPr>
          <w:p w14:paraId="550811DB">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1</w:t>
            </w:r>
          </w:p>
        </w:tc>
        <w:tc>
          <w:tcPr>
            <w:tcW w:w="1166" w:type="pct"/>
            <w:tcBorders>
              <w:top w:val="single" w:color="auto" w:sz="4" w:space="0"/>
              <w:left w:val="single" w:color="auto" w:sz="4" w:space="0"/>
              <w:bottom w:val="single" w:color="auto" w:sz="4" w:space="0"/>
              <w:right w:val="single" w:color="auto" w:sz="4" w:space="0"/>
            </w:tcBorders>
            <w:shd w:val="clear" w:color="auto" w:fill="DEEBF6"/>
            <w:vAlign w:val="center"/>
          </w:tcPr>
          <w:p w14:paraId="23FA8DEF">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短期内相对容易补救</w:t>
            </w:r>
          </w:p>
        </w:tc>
        <w:tc>
          <w:tcPr>
            <w:tcW w:w="472" w:type="pct"/>
            <w:tcBorders>
              <w:top w:val="single" w:color="auto" w:sz="4" w:space="0"/>
              <w:left w:val="single" w:color="auto" w:sz="4" w:space="0"/>
              <w:bottom w:val="single" w:color="auto" w:sz="4" w:space="0"/>
              <w:right w:val="single" w:color="auto" w:sz="4" w:space="0"/>
            </w:tcBorders>
            <w:vAlign w:val="center"/>
          </w:tcPr>
          <w:p w14:paraId="1C5EBC8E">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1</w:t>
            </w:r>
          </w:p>
        </w:tc>
        <w:tc>
          <w:tcPr>
            <w:tcW w:w="658" w:type="pct"/>
            <w:tcBorders>
              <w:top w:val="single" w:color="auto" w:sz="4" w:space="0"/>
              <w:left w:val="single" w:color="auto" w:sz="4" w:space="0"/>
              <w:bottom w:val="single" w:color="auto" w:sz="4" w:space="0"/>
              <w:right w:val="single" w:color="auto" w:sz="4" w:space="0"/>
            </w:tcBorders>
            <w:shd w:val="clear" w:color="auto" w:fill="DEEBF6"/>
            <w:vAlign w:val="center"/>
          </w:tcPr>
          <w:p w14:paraId="2161300E">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轻微可能</w:t>
            </w:r>
          </w:p>
        </w:tc>
        <w:tc>
          <w:tcPr>
            <w:tcW w:w="452" w:type="pct"/>
            <w:tcBorders>
              <w:top w:val="single" w:color="auto" w:sz="4" w:space="0"/>
              <w:left w:val="single" w:color="auto" w:sz="4" w:space="0"/>
              <w:bottom w:val="single" w:color="auto" w:sz="4" w:space="0"/>
              <w:right w:val="single" w:color="auto" w:sz="4" w:space="0"/>
            </w:tcBorders>
            <w:vAlign w:val="center"/>
          </w:tcPr>
          <w:p w14:paraId="3E4DE34D">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1</w:t>
            </w:r>
          </w:p>
        </w:tc>
      </w:tr>
      <w:tr w14:paraId="2ECFE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3" w:type="pct"/>
            <w:tcBorders>
              <w:top w:val="single" w:color="auto" w:sz="4" w:space="0"/>
              <w:left w:val="single" w:color="auto" w:sz="4" w:space="0"/>
              <w:bottom w:val="single" w:color="auto" w:sz="4" w:space="0"/>
              <w:right w:val="single" w:color="auto" w:sz="4" w:space="0"/>
            </w:tcBorders>
            <w:shd w:val="clear" w:color="auto" w:fill="DEEBF6"/>
            <w:vAlign w:val="center"/>
          </w:tcPr>
          <w:p w14:paraId="4C756632">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轻度</w:t>
            </w:r>
          </w:p>
        </w:tc>
        <w:tc>
          <w:tcPr>
            <w:tcW w:w="480" w:type="pct"/>
            <w:tcBorders>
              <w:top w:val="single" w:color="auto" w:sz="4" w:space="0"/>
              <w:left w:val="single" w:color="auto" w:sz="4" w:space="0"/>
              <w:bottom w:val="single" w:color="auto" w:sz="4" w:space="0"/>
              <w:right w:val="single" w:color="auto" w:sz="4" w:space="0"/>
            </w:tcBorders>
            <w:vAlign w:val="center"/>
          </w:tcPr>
          <w:p w14:paraId="5E80D209">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2</w:t>
            </w:r>
          </w:p>
        </w:tc>
        <w:tc>
          <w:tcPr>
            <w:tcW w:w="560" w:type="pct"/>
            <w:tcBorders>
              <w:top w:val="single" w:color="auto" w:sz="4" w:space="0"/>
              <w:left w:val="single" w:color="auto" w:sz="4" w:space="0"/>
              <w:bottom w:val="single" w:color="auto" w:sz="4" w:space="0"/>
              <w:right w:val="single" w:color="auto" w:sz="4" w:space="0"/>
            </w:tcBorders>
            <w:shd w:val="clear" w:color="auto" w:fill="DEEBF6"/>
            <w:vAlign w:val="center"/>
          </w:tcPr>
          <w:p w14:paraId="1DA69641">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集中</w:t>
            </w:r>
          </w:p>
        </w:tc>
        <w:tc>
          <w:tcPr>
            <w:tcW w:w="505" w:type="pct"/>
            <w:tcBorders>
              <w:top w:val="single" w:color="auto" w:sz="4" w:space="0"/>
              <w:left w:val="single" w:color="auto" w:sz="4" w:space="0"/>
              <w:bottom w:val="single" w:color="auto" w:sz="4" w:space="0"/>
              <w:right w:val="single" w:color="auto" w:sz="4" w:space="0"/>
            </w:tcBorders>
            <w:vAlign w:val="center"/>
          </w:tcPr>
          <w:p w14:paraId="209C716E">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2</w:t>
            </w:r>
          </w:p>
        </w:tc>
        <w:tc>
          <w:tcPr>
            <w:tcW w:w="1166" w:type="pct"/>
            <w:tcBorders>
              <w:top w:val="single" w:color="auto" w:sz="4" w:space="0"/>
              <w:left w:val="single" w:color="auto" w:sz="4" w:space="0"/>
              <w:bottom w:val="single" w:color="auto" w:sz="4" w:space="0"/>
              <w:right w:val="single" w:color="auto" w:sz="4" w:space="0"/>
            </w:tcBorders>
            <w:shd w:val="clear" w:color="auto" w:fill="DEEBF6"/>
            <w:vAlign w:val="center"/>
          </w:tcPr>
          <w:p w14:paraId="32990D4A">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可努力补救（需要时间和成本）</w:t>
            </w:r>
          </w:p>
        </w:tc>
        <w:tc>
          <w:tcPr>
            <w:tcW w:w="472" w:type="pct"/>
            <w:tcBorders>
              <w:top w:val="single" w:color="auto" w:sz="4" w:space="0"/>
              <w:left w:val="single" w:color="auto" w:sz="4" w:space="0"/>
              <w:bottom w:val="single" w:color="auto" w:sz="4" w:space="0"/>
              <w:right w:val="single" w:color="auto" w:sz="4" w:space="0"/>
            </w:tcBorders>
            <w:vAlign w:val="center"/>
          </w:tcPr>
          <w:p w14:paraId="7710AAD9">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2</w:t>
            </w:r>
          </w:p>
        </w:tc>
        <w:tc>
          <w:tcPr>
            <w:tcW w:w="658" w:type="pct"/>
            <w:tcBorders>
              <w:top w:val="single" w:color="auto" w:sz="4" w:space="0"/>
              <w:left w:val="single" w:color="auto" w:sz="4" w:space="0"/>
              <w:bottom w:val="single" w:color="auto" w:sz="4" w:space="0"/>
              <w:right w:val="single" w:color="auto" w:sz="4" w:space="0"/>
            </w:tcBorders>
            <w:shd w:val="clear" w:color="auto" w:fill="DEEBF6"/>
            <w:vAlign w:val="center"/>
          </w:tcPr>
          <w:p w14:paraId="09FC5D1E">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一般可能</w:t>
            </w:r>
          </w:p>
        </w:tc>
        <w:tc>
          <w:tcPr>
            <w:tcW w:w="452" w:type="pct"/>
            <w:tcBorders>
              <w:top w:val="single" w:color="auto" w:sz="4" w:space="0"/>
              <w:left w:val="single" w:color="auto" w:sz="4" w:space="0"/>
              <w:bottom w:val="single" w:color="auto" w:sz="4" w:space="0"/>
              <w:right w:val="single" w:color="auto" w:sz="4" w:space="0"/>
            </w:tcBorders>
            <w:vAlign w:val="center"/>
          </w:tcPr>
          <w:p w14:paraId="40374E14">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2</w:t>
            </w:r>
          </w:p>
        </w:tc>
      </w:tr>
      <w:tr w14:paraId="30737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3" w:type="pct"/>
            <w:tcBorders>
              <w:top w:val="single" w:color="auto" w:sz="4" w:space="0"/>
              <w:left w:val="single" w:color="auto" w:sz="4" w:space="0"/>
              <w:bottom w:val="single" w:color="auto" w:sz="4" w:space="0"/>
              <w:right w:val="single" w:color="auto" w:sz="4" w:space="0"/>
            </w:tcBorders>
            <w:shd w:val="clear" w:color="auto" w:fill="DEEBF6"/>
            <w:vAlign w:val="center"/>
          </w:tcPr>
          <w:p w14:paraId="4CA2577D">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中度</w:t>
            </w:r>
          </w:p>
        </w:tc>
        <w:tc>
          <w:tcPr>
            <w:tcW w:w="480" w:type="pct"/>
            <w:tcBorders>
              <w:top w:val="single" w:color="auto" w:sz="4" w:space="0"/>
              <w:left w:val="single" w:color="auto" w:sz="4" w:space="0"/>
              <w:bottom w:val="single" w:color="auto" w:sz="4" w:space="0"/>
              <w:right w:val="single" w:color="auto" w:sz="4" w:space="0"/>
            </w:tcBorders>
            <w:vAlign w:val="center"/>
          </w:tcPr>
          <w:p w14:paraId="685B992C">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3</w:t>
            </w:r>
          </w:p>
        </w:tc>
        <w:tc>
          <w:tcPr>
            <w:tcW w:w="560" w:type="pct"/>
            <w:tcBorders>
              <w:top w:val="single" w:color="auto" w:sz="4" w:space="0"/>
              <w:left w:val="single" w:color="auto" w:sz="4" w:space="0"/>
              <w:bottom w:val="single" w:color="auto" w:sz="4" w:space="0"/>
              <w:right w:val="single" w:color="auto" w:sz="4" w:space="0"/>
            </w:tcBorders>
            <w:shd w:val="clear" w:color="auto" w:fill="DEEBF6"/>
            <w:vAlign w:val="center"/>
          </w:tcPr>
          <w:p w14:paraId="01FFCA02">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中度</w:t>
            </w:r>
          </w:p>
        </w:tc>
        <w:tc>
          <w:tcPr>
            <w:tcW w:w="505" w:type="pct"/>
            <w:tcBorders>
              <w:top w:val="single" w:color="auto" w:sz="4" w:space="0"/>
              <w:left w:val="single" w:color="auto" w:sz="4" w:space="0"/>
              <w:bottom w:val="single" w:color="auto" w:sz="4" w:space="0"/>
              <w:right w:val="single" w:color="auto" w:sz="4" w:space="0"/>
            </w:tcBorders>
            <w:vAlign w:val="center"/>
          </w:tcPr>
          <w:p w14:paraId="0FFCCCF6">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3</w:t>
            </w:r>
          </w:p>
        </w:tc>
        <w:tc>
          <w:tcPr>
            <w:tcW w:w="1166" w:type="pct"/>
            <w:tcBorders>
              <w:top w:val="single" w:color="auto" w:sz="4" w:space="0"/>
              <w:left w:val="single" w:color="auto" w:sz="4" w:space="0"/>
              <w:bottom w:val="single" w:color="auto" w:sz="4" w:space="0"/>
              <w:right w:val="single" w:color="auto" w:sz="4" w:space="0"/>
            </w:tcBorders>
            <w:shd w:val="clear" w:color="auto" w:fill="DEEBF6"/>
            <w:vAlign w:val="center"/>
          </w:tcPr>
          <w:p w14:paraId="3157D869">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难以补救或需要在中期内补救</w:t>
            </w:r>
          </w:p>
        </w:tc>
        <w:tc>
          <w:tcPr>
            <w:tcW w:w="472" w:type="pct"/>
            <w:tcBorders>
              <w:top w:val="single" w:color="auto" w:sz="4" w:space="0"/>
              <w:left w:val="single" w:color="auto" w:sz="4" w:space="0"/>
              <w:bottom w:val="single" w:color="auto" w:sz="4" w:space="0"/>
              <w:right w:val="single" w:color="auto" w:sz="4" w:space="0"/>
            </w:tcBorders>
            <w:vAlign w:val="center"/>
          </w:tcPr>
          <w:p w14:paraId="52E94116">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3</w:t>
            </w:r>
          </w:p>
        </w:tc>
        <w:tc>
          <w:tcPr>
            <w:tcW w:w="658" w:type="pct"/>
            <w:tcBorders>
              <w:top w:val="single" w:color="auto" w:sz="4" w:space="0"/>
              <w:left w:val="single" w:color="auto" w:sz="4" w:space="0"/>
              <w:bottom w:val="single" w:color="auto" w:sz="4" w:space="0"/>
              <w:right w:val="single" w:color="auto" w:sz="4" w:space="0"/>
            </w:tcBorders>
            <w:shd w:val="clear" w:color="auto" w:fill="DEEBF6"/>
            <w:vAlign w:val="center"/>
          </w:tcPr>
          <w:p w14:paraId="5CC9B2B2">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很可能</w:t>
            </w:r>
          </w:p>
        </w:tc>
        <w:tc>
          <w:tcPr>
            <w:tcW w:w="452" w:type="pct"/>
            <w:tcBorders>
              <w:top w:val="single" w:color="auto" w:sz="4" w:space="0"/>
              <w:left w:val="single" w:color="auto" w:sz="4" w:space="0"/>
              <w:bottom w:val="single" w:color="auto" w:sz="4" w:space="0"/>
              <w:right w:val="single" w:color="auto" w:sz="4" w:space="0"/>
            </w:tcBorders>
            <w:vAlign w:val="center"/>
          </w:tcPr>
          <w:p w14:paraId="7C262BAC">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3</w:t>
            </w:r>
          </w:p>
        </w:tc>
      </w:tr>
      <w:tr w14:paraId="7B377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3" w:type="pct"/>
            <w:tcBorders>
              <w:top w:val="single" w:color="auto" w:sz="4" w:space="0"/>
              <w:left w:val="single" w:color="auto" w:sz="4" w:space="0"/>
              <w:bottom w:val="single" w:color="auto" w:sz="4" w:space="0"/>
              <w:right w:val="single" w:color="auto" w:sz="4" w:space="0"/>
            </w:tcBorders>
            <w:shd w:val="clear" w:color="auto" w:fill="DEEBF6"/>
            <w:vAlign w:val="center"/>
          </w:tcPr>
          <w:p w14:paraId="4947D6FC">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高度</w:t>
            </w:r>
          </w:p>
        </w:tc>
        <w:tc>
          <w:tcPr>
            <w:tcW w:w="480" w:type="pct"/>
            <w:tcBorders>
              <w:top w:val="single" w:color="auto" w:sz="4" w:space="0"/>
              <w:left w:val="single" w:color="auto" w:sz="4" w:space="0"/>
              <w:bottom w:val="single" w:color="auto" w:sz="4" w:space="0"/>
              <w:right w:val="single" w:color="auto" w:sz="4" w:space="0"/>
            </w:tcBorders>
            <w:vAlign w:val="center"/>
          </w:tcPr>
          <w:p w14:paraId="7BB0ED2E">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4</w:t>
            </w:r>
          </w:p>
        </w:tc>
        <w:tc>
          <w:tcPr>
            <w:tcW w:w="560" w:type="pct"/>
            <w:tcBorders>
              <w:top w:val="single" w:color="auto" w:sz="4" w:space="0"/>
              <w:left w:val="single" w:color="auto" w:sz="4" w:space="0"/>
              <w:bottom w:val="single" w:color="auto" w:sz="4" w:space="0"/>
              <w:right w:val="single" w:color="auto" w:sz="4" w:space="0"/>
            </w:tcBorders>
            <w:shd w:val="clear" w:color="auto" w:fill="DEEBF6"/>
            <w:vAlign w:val="center"/>
          </w:tcPr>
          <w:p w14:paraId="7B389E88">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广泛</w:t>
            </w:r>
          </w:p>
        </w:tc>
        <w:tc>
          <w:tcPr>
            <w:tcW w:w="505" w:type="pct"/>
            <w:tcBorders>
              <w:top w:val="single" w:color="auto" w:sz="4" w:space="0"/>
              <w:left w:val="single" w:color="auto" w:sz="4" w:space="0"/>
              <w:bottom w:val="single" w:color="auto" w:sz="4" w:space="0"/>
              <w:right w:val="single" w:color="auto" w:sz="4" w:space="0"/>
            </w:tcBorders>
            <w:vAlign w:val="center"/>
          </w:tcPr>
          <w:p w14:paraId="6596AFB2">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4</w:t>
            </w:r>
          </w:p>
        </w:tc>
        <w:tc>
          <w:tcPr>
            <w:tcW w:w="1166" w:type="pct"/>
            <w:tcBorders>
              <w:top w:val="single" w:color="auto" w:sz="4" w:space="0"/>
              <w:left w:val="single" w:color="auto" w:sz="4" w:space="0"/>
              <w:bottom w:val="single" w:color="auto" w:sz="4" w:space="0"/>
              <w:right w:val="single" w:color="auto" w:sz="4" w:space="0"/>
            </w:tcBorders>
            <w:shd w:val="clear" w:color="auto" w:fill="DEEBF6"/>
            <w:vAlign w:val="center"/>
          </w:tcPr>
          <w:p w14:paraId="691AD5FB">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很难补救或需要在长期内补救</w:t>
            </w:r>
          </w:p>
        </w:tc>
        <w:tc>
          <w:tcPr>
            <w:tcW w:w="472" w:type="pct"/>
            <w:tcBorders>
              <w:top w:val="single" w:color="auto" w:sz="4" w:space="0"/>
              <w:left w:val="single" w:color="auto" w:sz="4" w:space="0"/>
              <w:bottom w:val="single" w:color="auto" w:sz="4" w:space="0"/>
              <w:right w:val="single" w:color="auto" w:sz="4" w:space="0"/>
            </w:tcBorders>
            <w:vAlign w:val="center"/>
          </w:tcPr>
          <w:p w14:paraId="401BE2FF">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4</w:t>
            </w:r>
          </w:p>
        </w:tc>
        <w:tc>
          <w:tcPr>
            <w:tcW w:w="658" w:type="pct"/>
            <w:tcBorders>
              <w:top w:val="single" w:color="auto" w:sz="4" w:space="0"/>
              <w:left w:val="single" w:color="auto" w:sz="4" w:space="0"/>
              <w:bottom w:val="single" w:color="auto" w:sz="4" w:space="0"/>
              <w:right w:val="single" w:color="auto" w:sz="4" w:space="0"/>
            </w:tcBorders>
            <w:shd w:val="clear" w:color="auto" w:fill="DEEBF6"/>
            <w:vAlign w:val="center"/>
          </w:tcPr>
          <w:p w14:paraId="32D472A0">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非常有可能</w:t>
            </w:r>
          </w:p>
        </w:tc>
        <w:tc>
          <w:tcPr>
            <w:tcW w:w="452" w:type="pct"/>
            <w:tcBorders>
              <w:top w:val="single" w:color="auto" w:sz="4" w:space="0"/>
              <w:left w:val="single" w:color="auto" w:sz="4" w:space="0"/>
              <w:bottom w:val="single" w:color="auto" w:sz="4" w:space="0"/>
              <w:right w:val="single" w:color="auto" w:sz="4" w:space="0"/>
            </w:tcBorders>
            <w:vAlign w:val="center"/>
          </w:tcPr>
          <w:p w14:paraId="0CE89ECF">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4</w:t>
            </w:r>
          </w:p>
        </w:tc>
      </w:tr>
      <w:tr w14:paraId="141D1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6" w:hRule="atLeast"/>
        </w:trPr>
        <w:tc>
          <w:tcPr>
            <w:tcW w:w="703" w:type="pct"/>
            <w:tcBorders>
              <w:top w:val="single" w:color="auto" w:sz="4" w:space="0"/>
              <w:left w:val="single" w:color="auto" w:sz="4" w:space="0"/>
              <w:bottom w:val="single" w:color="auto" w:sz="4" w:space="0"/>
              <w:right w:val="single" w:color="auto" w:sz="4" w:space="0"/>
            </w:tcBorders>
            <w:shd w:val="clear" w:color="auto" w:fill="DEEBF6"/>
            <w:vAlign w:val="center"/>
          </w:tcPr>
          <w:p w14:paraId="3EF1B6F9">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十分严重</w:t>
            </w:r>
          </w:p>
        </w:tc>
        <w:tc>
          <w:tcPr>
            <w:tcW w:w="480" w:type="pct"/>
            <w:tcBorders>
              <w:top w:val="single" w:color="auto" w:sz="4" w:space="0"/>
              <w:left w:val="single" w:color="auto" w:sz="4" w:space="0"/>
              <w:bottom w:val="single" w:color="auto" w:sz="4" w:space="0"/>
              <w:right w:val="single" w:color="auto" w:sz="4" w:space="0"/>
            </w:tcBorders>
            <w:vAlign w:val="center"/>
          </w:tcPr>
          <w:p w14:paraId="302A4C0B">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5</w:t>
            </w:r>
          </w:p>
        </w:tc>
        <w:tc>
          <w:tcPr>
            <w:tcW w:w="560" w:type="pct"/>
            <w:tcBorders>
              <w:top w:val="single" w:color="auto" w:sz="4" w:space="0"/>
              <w:left w:val="single" w:color="auto" w:sz="4" w:space="0"/>
              <w:bottom w:val="single" w:color="auto" w:sz="4" w:space="0"/>
              <w:right w:val="single" w:color="auto" w:sz="4" w:space="0"/>
            </w:tcBorders>
            <w:shd w:val="clear" w:color="auto" w:fill="DEEBF6"/>
            <w:vAlign w:val="center"/>
          </w:tcPr>
          <w:p w14:paraId="6232397A">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全球</w:t>
            </w:r>
            <w:r>
              <w:rPr>
                <w:rFonts w:ascii="Times New Roman" w:hAnsi="Times New Roman" w:cs="Times New Roman"/>
                <w:color w:val="000000"/>
                <w:kern w:val="0"/>
                <w:sz w:val="24"/>
                <w:szCs w:val="24"/>
              </w:rPr>
              <w:t>/</w:t>
            </w:r>
            <w:r>
              <w:rPr>
                <w:rFonts w:hint="eastAsia" w:ascii="Times New Roman" w:hAnsi="Times New Roman" w:cs="Times New Roman"/>
                <w:color w:val="000000"/>
                <w:kern w:val="0"/>
                <w:sz w:val="24"/>
                <w:szCs w:val="24"/>
              </w:rPr>
              <w:t>全部</w:t>
            </w:r>
          </w:p>
        </w:tc>
        <w:tc>
          <w:tcPr>
            <w:tcW w:w="505" w:type="pct"/>
            <w:tcBorders>
              <w:top w:val="single" w:color="auto" w:sz="4" w:space="0"/>
              <w:left w:val="single" w:color="auto" w:sz="4" w:space="0"/>
              <w:bottom w:val="single" w:color="auto" w:sz="4" w:space="0"/>
              <w:right w:val="single" w:color="auto" w:sz="4" w:space="0"/>
            </w:tcBorders>
            <w:vAlign w:val="center"/>
          </w:tcPr>
          <w:p w14:paraId="3DA94C7B">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5</w:t>
            </w:r>
          </w:p>
        </w:tc>
        <w:tc>
          <w:tcPr>
            <w:tcW w:w="1166" w:type="pct"/>
            <w:tcBorders>
              <w:top w:val="single" w:color="auto" w:sz="4" w:space="0"/>
              <w:left w:val="single" w:color="auto" w:sz="4" w:space="0"/>
              <w:bottom w:val="single" w:color="auto" w:sz="4" w:space="0"/>
              <w:right w:val="single" w:color="auto" w:sz="4" w:space="0"/>
            </w:tcBorders>
            <w:shd w:val="clear" w:color="auto" w:fill="DEEBF6"/>
            <w:vAlign w:val="center"/>
          </w:tcPr>
          <w:p w14:paraId="6D807288">
            <w:pPr>
              <w:widowControl/>
              <w:jc w:val="center"/>
              <w:rPr>
                <w:rFonts w:ascii="Times New Roman" w:hAnsi="Times New Roman" w:eastAsia="Times New Roman" w:cs="Times New Roman"/>
                <w:color w:val="000000"/>
                <w:kern w:val="0"/>
                <w:sz w:val="24"/>
                <w:szCs w:val="24"/>
              </w:rPr>
            </w:pPr>
            <w:r>
              <w:rPr>
                <w:rFonts w:hint="eastAsia" w:ascii="Times New Roman" w:hAnsi="Times New Roman" w:cs="Times New Roman"/>
                <w:color w:val="000000"/>
                <w:kern w:val="0"/>
                <w:sz w:val="24"/>
                <w:szCs w:val="24"/>
              </w:rPr>
              <w:t>无法补救</w:t>
            </w:r>
          </w:p>
        </w:tc>
        <w:tc>
          <w:tcPr>
            <w:tcW w:w="472" w:type="pct"/>
            <w:tcBorders>
              <w:top w:val="single" w:color="auto" w:sz="4" w:space="0"/>
              <w:left w:val="single" w:color="auto" w:sz="4" w:space="0"/>
              <w:bottom w:val="single" w:color="auto" w:sz="4" w:space="0"/>
              <w:right w:val="single" w:color="auto" w:sz="4" w:space="0"/>
            </w:tcBorders>
            <w:vAlign w:val="center"/>
          </w:tcPr>
          <w:p w14:paraId="6765A88A">
            <w:pPr>
              <w:widowControl/>
              <w:jc w:val="center"/>
              <w:rPr>
                <w:rFonts w:ascii="Times New Roman" w:hAnsi="Times New Roman" w:eastAsia="Times New Roman" w:cs="Times New Roman"/>
                <w:color w:val="000000"/>
                <w:kern w:val="0"/>
                <w:sz w:val="24"/>
                <w:szCs w:val="24"/>
              </w:rPr>
            </w:pPr>
            <w:r>
              <w:rPr>
                <w:rFonts w:ascii="Times New Roman" w:hAnsi="Times New Roman" w:cs="Times New Roman"/>
                <w:color w:val="000000"/>
                <w:kern w:val="0"/>
                <w:sz w:val="24"/>
                <w:szCs w:val="24"/>
              </w:rPr>
              <w:t>5</w:t>
            </w:r>
          </w:p>
        </w:tc>
        <w:tc>
          <w:tcPr>
            <w:tcW w:w="658" w:type="pct"/>
            <w:tcBorders>
              <w:top w:val="single" w:color="auto" w:sz="4" w:space="0"/>
              <w:left w:val="single" w:color="auto" w:sz="4" w:space="0"/>
              <w:bottom w:val="single" w:color="auto" w:sz="4" w:space="0"/>
              <w:right w:val="single" w:color="auto" w:sz="4" w:space="0"/>
            </w:tcBorders>
            <w:shd w:val="clear" w:color="auto" w:fill="DEEBF6"/>
            <w:vAlign w:val="center"/>
          </w:tcPr>
          <w:p w14:paraId="354645BA">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可能性极高</w:t>
            </w:r>
          </w:p>
        </w:tc>
        <w:tc>
          <w:tcPr>
            <w:tcW w:w="452" w:type="pct"/>
            <w:tcBorders>
              <w:top w:val="single" w:color="auto" w:sz="4" w:space="0"/>
              <w:left w:val="single" w:color="auto" w:sz="4" w:space="0"/>
              <w:bottom w:val="single" w:color="auto" w:sz="4" w:space="0"/>
              <w:right w:val="single" w:color="auto" w:sz="4" w:space="0"/>
            </w:tcBorders>
            <w:vAlign w:val="center"/>
          </w:tcPr>
          <w:p w14:paraId="13DDCCDE">
            <w:pPr>
              <w:widowControl/>
              <w:jc w:val="center"/>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5</w:t>
            </w:r>
          </w:p>
        </w:tc>
      </w:tr>
    </w:tbl>
    <w:p w14:paraId="0BEBE939">
      <w:pPr>
        <w:widowControl/>
        <w:adjustRightInd w:val="0"/>
        <w:snapToGrid w:val="0"/>
        <w:spacing w:line="560" w:lineRule="exact"/>
        <w:ind w:firstLine="600" w:firstLineChars="250"/>
        <w:jc w:val="left"/>
        <w:rPr>
          <w:rFonts w:ascii="Times New Roman" w:hAnsi="Times New Roman" w:cs="Times New Roman"/>
          <w:kern w:val="0"/>
          <w:szCs w:val="30"/>
        </w:rPr>
      </w:pPr>
      <w:r>
        <w:rPr>
          <w:rFonts w:hint="eastAsia" w:ascii="Times New Roman" w:hAnsi="Times New Roman" w:cs="Times New Roman"/>
          <w:sz w:val="24"/>
          <w:szCs w:val="24"/>
          <w:lang w:bidi="ar"/>
        </w:rPr>
        <w:t>注：表格中文字、数值仅供示例参考，公司应结合自身情况确定。</w:t>
      </w:r>
    </w:p>
    <w:p w14:paraId="44E62553">
      <w:pPr>
        <w:widowControl/>
        <w:adjustRightInd w:val="0"/>
        <w:snapToGrid w:val="0"/>
        <w:spacing w:line="560" w:lineRule="exact"/>
        <w:ind w:firstLine="602" w:firstLineChars="200"/>
        <w:rPr>
          <w:rFonts w:ascii="Times New Roman" w:hAnsi="Times New Roman" w:cs="Times New Roman"/>
          <w:b/>
          <w:kern w:val="0"/>
          <w:szCs w:val="30"/>
        </w:rPr>
      </w:pPr>
      <w:r>
        <w:rPr>
          <w:rFonts w:hint="eastAsia" w:ascii="Times New Roman" w:hAnsi="Times New Roman" w:cs="Times New Roman"/>
          <w:b/>
          <w:kern w:val="0"/>
          <w:szCs w:val="30"/>
        </w:rPr>
        <w:t>（2）关键利益相关方与专家的参与</w:t>
      </w:r>
    </w:p>
    <w:p w14:paraId="6EDF3D16">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szCs w:val="30"/>
          <w:lang w:bidi="ar"/>
        </w:rPr>
        <w:t>披露主体可以</w:t>
      </w:r>
      <w:r>
        <w:rPr>
          <w:rFonts w:hint="eastAsia" w:ascii="Times New Roman" w:hAnsi="Times New Roman" w:cs="Times New Roman"/>
          <w:kern w:val="0"/>
          <w:szCs w:val="30"/>
        </w:rPr>
        <w:t>与关键受影响的利益相关方（如员工代表等）进行沟通，了解利益相关方可能受到的影响，深入评估影响的规模、范围和可能性。利益相关方调研是公司得出影响重要性分析结果的重要方式，主要流程包括确定关键利益相关方、搜集相关方意见、确定利益相关方的权重、综合形成调研结果等。公司可以采用问卷的方式开展利益相关方调研，并通过利益相关方座谈会等方式提升调研结果的精确性和平衡性，也可以采用不同背景的专家评分方式，作为调研的替代方案。</w:t>
      </w:r>
    </w:p>
    <w:p w14:paraId="78CC1B2B">
      <w:pPr>
        <w:widowControl/>
        <w:adjustRightInd w:val="0"/>
        <w:snapToGrid w:val="0"/>
        <w:spacing w:line="560" w:lineRule="exact"/>
        <w:ind w:firstLine="602" w:firstLineChars="200"/>
        <w:rPr>
          <w:rFonts w:ascii="Times New Roman" w:hAnsi="Times New Roman" w:cs="Times New Roman"/>
          <w:b/>
          <w:kern w:val="0"/>
          <w:szCs w:val="30"/>
        </w:rPr>
      </w:pPr>
      <w:r>
        <w:rPr>
          <w:rFonts w:hint="eastAsia" w:ascii="Times New Roman" w:hAnsi="Times New Roman" w:cs="Times New Roman"/>
          <w:b/>
          <w:kern w:val="0"/>
          <w:szCs w:val="30"/>
        </w:rPr>
        <w:t>（3）设置判定影响重要性的阈值</w:t>
      </w:r>
    </w:p>
    <w:p w14:paraId="01FCCFAE">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披露主体可充分考虑利益相关方和专家的意见，设置适当的阈值来评估实际和潜在影响是否重大，根据影响的重要性排定优先顺序，进一步提供优先级排序结果。</w:t>
      </w:r>
    </w:p>
    <w:p w14:paraId="201D620A">
      <w:pPr>
        <w:widowControl/>
        <w:adjustRightInd w:val="0"/>
        <w:snapToGrid w:val="0"/>
        <w:spacing w:line="560" w:lineRule="exact"/>
        <w:ind w:firstLine="602" w:firstLineChars="200"/>
        <w:rPr>
          <w:rFonts w:ascii="Times New Roman" w:hAnsi="Times New Roman" w:cs="Times New Roman"/>
          <w:b/>
          <w:szCs w:val="30"/>
          <w:lang w:bidi="ar"/>
        </w:rPr>
      </w:pPr>
      <w:r>
        <w:rPr>
          <w:rFonts w:hint="eastAsia" w:ascii="Times New Roman" w:hAnsi="Times New Roman" w:cs="Times New Roman"/>
          <w:b/>
          <w:szCs w:val="30"/>
          <w:lang w:bidi="ar"/>
        </w:rPr>
        <w:t>（4）形成影响重要性评估结论</w:t>
      </w:r>
    </w:p>
    <w:p w14:paraId="4C404FFD">
      <w:pPr>
        <w:widowControl/>
        <w:adjustRightInd w:val="0"/>
        <w:snapToGrid w:val="0"/>
        <w:spacing w:line="560" w:lineRule="exact"/>
        <w:ind w:firstLine="600" w:firstLineChars="200"/>
        <w:rPr>
          <w:rFonts w:ascii="Times New Roman" w:hAnsi="Times New Roman" w:cs="Times New Roman"/>
          <w:iCs/>
          <w:kern w:val="0"/>
          <w:szCs w:val="30"/>
        </w:rPr>
      </w:pPr>
      <w:r>
        <w:rPr>
          <w:rFonts w:hint="eastAsia" w:ascii="Times New Roman" w:hAnsi="Times New Roman" w:cs="Times New Roman"/>
          <w:iCs/>
          <w:kern w:val="0"/>
          <w:szCs w:val="30"/>
        </w:rPr>
        <w:t>基于利益相关方调研或专家评分结果等方式，将各议题影响重要性评分与阈值进行比较，披露主体可以得出议题影响重要性的分析结果。</w:t>
      </w:r>
    </w:p>
    <w:p w14:paraId="07DD1A3E">
      <w:pPr>
        <w:widowControl/>
        <w:adjustRightInd w:val="0"/>
        <w:snapToGrid w:val="0"/>
        <w:spacing w:line="560" w:lineRule="exact"/>
        <w:ind w:firstLine="600" w:firstLineChars="200"/>
        <w:rPr>
          <w:rFonts w:ascii="Times New Roman" w:hAnsi="Times New Roman" w:cs="Times New Roman"/>
          <w:iCs/>
          <w:kern w:val="0"/>
          <w:szCs w:val="30"/>
        </w:rPr>
      </w:pPr>
      <w:r>
        <w:rPr>
          <w:rFonts w:hint="eastAsia" w:ascii="Times New Roman" w:hAnsi="Times New Roman" w:cs="Times New Roman"/>
          <w:kern w:val="0"/>
          <w:szCs w:val="30"/>
        </w:rPr>
        <w:t>当特定议题的影响重要性已成为行业共识时，披露主体可以认为这种影响是重要的，而无须对其规模、范围和不可补救性再进行深入分析，但仍需对其他潜在议题按照</w:t>
      </w:r>
      <w:r>
        <w:rPr>
          <w:rFonts w:hint="eastAsia" w:ascii="Times New Roman" w:hAnsi="Times New Roman" w:cs="Times New Roman"/>
          <w:szCs w:val="30"/>
          <w:lang w:bidi="ar"/>
        </w:rPr>
        <w:t>披露主体</w:t>
      </w:r>
      <w:r>
        <w:rPr>
          <w:rFonts w:hint="eastAsia" w:ascii="Times New Roman" w:hAnsi="Times New Roman" w:cs="Times New Roman"/>
          <w:kern w:val="0"/>
          <w:szCs w:val="30"/>
        </w:rPr>
        <w:t>自身的影响进行分析。</w:t>
      </w:r>
    </w:p>
    <w:p w14:paraId="042BF927">
      <w:pPr>
        <w:widowControl/>
        <w:adjustRightInd w:val="0"/>
        <w:snapToGrid w:val="0"/>
        <w:spacing w:line="560" w:lineRule="exact"/>
        <w:ind w:firstLine="602" w:firstLineChars="200"/>
        <w:jc w:val="left"/>
        <w:rPr>
          <w:rFonts w:ascii="Times New Roman" w:hAnsi="Times New Roman" w:cs="Times New Roman"/>
          <w:b/>
          <w:bCs/>
          <w:szCs w:val="30"/>
          <w:lang w:bidi="ar"/>
        </w:rPr>
      </w:pPr>
      <w:r>
        <w:rPr>
          <w:rFonts w:ascii="Times New Roman" w:hAnsi="Times New Roman" w:cs="Times New Roman"/>
          <w:b/>
          <w:bCs/>
          <w:szCs w:val="30"/>
          <w:lang w:bidi="ar"/>
        </w:rPr>
        <w:t>2</w:t>
      </w:r>
      <w:r>
        <w:rPr>
          <w:rFonts w:hint="eastAsia" w:ascii="Times New Roman" w:hAnsi="Times New Roman" w:cs="Times New Roman"/>
          <w:b/>
          <w:bCs/>
          <w:szCs w:val="30"/>
          <w:lang w:bidi="ar"/>
        </w:rPr>
        <w:t>、财务重要性评估</w:t>
      </w:r>
    </w:p>
    <w:p w14:paraId="7B750CBB">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财务重要性信息主要满足通用目的财务报告主要使用者的信息需求。财务重要性评估首先需要识别影响或可能影响公司业务运营、财务状况、经营成果、现金流等的风险和机遇，然后评估是否产生重大财务影响。</w:t>
      </w:r>
    </w:p>
    <w:p w14:paraId="1A8A7E42">
      <w:pPr>
        <w:widowControl/>
        <w:adjustRightInd w:val="0"/>
        <w:snapToGrid w:val="0"/>
        <w:spacing w:line="560" w:lineRule="exact"/>
        <w:ind w:firstLine="602" w:firstLineChars="200"/>
        <w:rPr>
          <w:rFonts w:ascii="Times New Roman" w:hAnsi="Times New Roman" w:cs="Times New Roman"/>
          <w:b/>
          <w:bCs/>
          <w:szCs w:val="30"/>
          <w:lang w:bidi="ar"/>
        </w:rPr>
      </w:pPr>
      <w:r>
        <w:rPr>
          <w:rFonts w:hint="eastAsia" w:ascii="Times New Roman" w:hAnsi="Times New Roman" w:cs="Times New Roman"/>
          <w:b/>
          <w:bCs/>
          <w:szCs w:val="30"/>
          <w:lang w:bidi="ar"/>
        </w:rPr>
        <w:t>（1）财务重要性评估因素</w:t>
      </w:r>
    </w:p>
    <w:p w14:paraId="5B3608DB">
      <w:pPr>
        <w:widowControl/>
        <w:adjustRightInd w:val="0"/>
        <w:snapToGrid w:val="0"/>
        <w:spacing w:after="156" w:afterLines="50"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财务重要性评估要结合财务影响发生的可能性、财务影响的程度判断。其中，财务影响的程度可从对于资源和关系的依赖和影响角度进行分析，如水资源、矿产等自然资源，员工等人力资源，投资者、上游供应商、下游客户等社会关系。例如，在评估“水资源利用”议题时，可考虑未来水资源可用供给、价格对公司产品定价和利润的影响程度；在评估“产品和服务安全与质量”议题时，可考虑与客户的关系中，产品和服务安全与质量问题对于品牌声誉、产品销量、收入等的影响程度。公司可深入考虑和识别议题进一步对公司财务报表（例如，收入、成本、总资产、净资产、利润、现金流等）可能产生的正面或负面影响。</w:t>
      </w:r>
    </w:p>
    <w:p w14:paraId="431A9433">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表8：财务影响程度分析示例</w:t>
      </w:r>
    </w:p>
    <w:tbl>
      <w:tblPr>
        <w:tblStyle w:val="7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606"/>
        <w:gridCol w:w="1546"/>
        <w:gridCol w:w="1268"/>
        <w:gridCol w:w="1445"/>
        <w:gridCol w:w="1440"/>
      </w:tblGrid>
      <w:tr w14:paraId="0062B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14" w:type="pct"/>
            <w:tcBorders>
              <w:top w:val="single" w:color="auto" w:sz="4" w:space="0"/>
              <w:left w:val="single" w:color="auto" w:sz="4" w:space="0"/>
              <w:bottom w:val="single" w:color="auto" w:sz="4" w:space="0"/>
              <w:right w:val="single" w:color="auto" w:sz="4" w:space="0"/>
            </w:tcBorders>
            <w:shd w:val="clear" w:color="auto" w:fill="DEEBF6"/>
            <w:vAlign w:val="center"/>
          </w:tcPr>
          <w:p w14:paraId="25131D42">
            <w:pPr>
              <w:widowControl/>
              <w:rPr>
                <w:rFonts w:ascii="Times New Roman" w:hAnsi="Times New Roman" w:cs="Times New Roman"/>
                <w:b/>
                <w:bCs/>
                <w:kern w:val="0"/>
                <w:sz w:val="24"/>
                <w:szCs w:val="24"/>
              </w:rPr>
            </w:pPr>
            <w:r>
              <w:rPr>
                <w:rFonts w:hint="eastAsia" w:ascii="Times New Roman" w:hAnsi="Times New Roman" w:cs="Times New Roman"/>
                <w:b/>
                <w:bCs/>
                <w:kern w:val="0"/>
                <w:sz w:val="24"/>
                <w:szCs w:val="24"/>
              </w:rPr>
              <w:t>对于资源的依赖/影响</w:t>
            </w:r>
          </w:p>
        </w:tc>
        <w:tc>
          <w:tcPr>
            <w:tcW w:w="942" w:type="pct"/>
            <w:tcBorders>
              <w:top w:val="single" w:color="auto" w:sz="4" w:space="0"/>
              <w:left w:val="single" w:color="auto" w:sz="4" w:space="0"/>
              <w:bottom w:val="single" w:color="auto" w:sz="4" w:space="0"/>
              <w:right w:val="single" w:color="auto" w:sz="4" w:space="0"/>
            </w:tcBorders>
            <w:shd w:val="clear" w:color="auto" w:fill="auto"/>
            <w:vAlign w:val="center"/>
          </w:tcPr>
          <w:p w14:paraId="53E58DAA">
            <w:pPr>
              <w:widowControl/>
              <w:rPr>
                <w:rFonts w:ascii="Times New Roman" w:hAnsi="Times New Roman" w:cs="Times New Roman"/>
                <w:b/>
                <w:bCs/>
                <w:kern w:val="0"/>
                <w:sz w:val="24"/>
                <w:szCs w:val="24"/>
              </w:rPr>
            </w:pPr>
            <w:r>
              <w:rPr>
                <w:rFonts w:hint="eastAsia" w:ascii="Times New Roman" w:hAnsi="Times New Roman" w:cs="Times New Roman"/>
                <w:b/>
                <w:bCs/>
                <w:kern w:val="0"/>
                <w:sz w:val="24"/>
                <w:szCs w:val="24"/>
              </w:rPr>
              <w:t>方式</w:t>
            </w:r>
            <w:r>
              <w:rPr>
                <w:rFonts w:ascii="Times New Roman" w:hAnsi="Times New Roman" w:cs="Times New Roman"/>
                <w:b/>
                <w:bCs/>
                <w:kern w:val="0"/>
                <w:sz w:val="24"/>
                <w:szCs w:val="24"/>
              </w:rPr>
              <w:t>1</w:t>
            </w:r>
            <w:r>
              <w:rPr>
                <w:rFonts w:hint="eastAsia" w:ascii="Times New Roman" w:hAnsi="Times New Roman" w:cs="Times New Roman"/>
                <w:b/>
                <w:bCs/>
                <w:kern w:val="0"/>
                <w:sz w:val="24"/>
                <w:szCs w:val="24"/>
              </w:rPr>
              <w:t>：财务影响程度定性判断</w:t>
            </w:r>
          </w:p>
        </w:tc>
        <w:tc>
          <w:tcPr>
            <w:tcW w:w="907" w:type="pct"/>
            <w:tcBorders>
              <w:top w:val="single" w:color="auto" w:sz="4" w:space="0"/>
              <w:left w:val="single" w:color="auto" w:sz="4" w:space="0"/>
              <w:bottom w:val="single" w:color="auto" w:sz="4" w:space="0"/>
              <w:right w:val="single" w:color="auto" w:sz="4" w:space="0"/>
            </w:tcBorders>
            <w:shd w:val="clear" w:color="auto" w:fill="auto"/>
            <w:vAlign w:val="center"/>
          </w:tcPr>
          <w:p w14:paraId="523F9AB9">
            <w:pPr>
              <w:widowControl/>
              <w:rPr>
                <w:rFonts w:ascii="Times New Roman" w:hAnsi="Times New Roman" w:cs="Times New Roman"/>
                <w:b/>
                <w:bCs/>
                <w:kern w:val="0"/>
                <w:sz w:val="24"/>
                <w:szCs w:val="24"/>
              </w:rPr>
            </w:pPr>
            <w:r>
              <w:rPr>
                <w:rFonts w:hint="eastAsia" w:ascii="Times New Roman" w:hAnsi="Times New Roman" w:cs="Times New Roman"/>
                <w:b/>
                <w:bCs/>
                <w:kern w:val="0"/>
                <w:sz w:val="24"/>
                <w:szCs w:val="24"/>
              </w:rPr>
              <w:t>方式</w:t>
            </w:r>
            <w:r>
              <w:rPr>
                <w:rFonts w:ascii="Times New Roman" w:hAnsi="Times New Roman" w:cs="Times New Roman"/>
                <w:b/>
                <w:bCs/>
                <w:kern w:val="0"/>
                <w:sz w:val="24"/>
                <w:szCs w:val="24"/>
              </w:rPr>
              <w:t>2</w:t>
            </w:r>
            <w:r>
              <w:rPr>
                <w:rFonts w:hint="eastAsia" w:ascii="Times New Roman" w:hAnsi="Times New Roman" w:cs="Times New Roman"/>
                <w:b/>
                <w:bCs/>
                <w:kern w:val="0"/>
                <w:sz w:val="24"/>
                <w:szCs w:val="24"/>
              </w:rPr>
              <w:t>：定量货币价值影响（万元）或百分比（</w:t>
            </w:r>
            <w:r>
              <w:rPr>
                <w:rFonts w:ascii="Times New Roman" w:hAnsi="Times New Roman" w:cs="Times New Roman"/>
                <w:b/>
                <w:bCs/>
                <w:kern w:val="0"/>
                <w:sz w:val="24"/>
                <w:szCs w:val="24"/>
              </w:rPr>
              <w:t>%</w:t>
            </w:r>
            <w:r>
              <w:rPr>
                <w:rFonts w:hint="eastAsia" w:ascii="Times New Roman" w:hAnsi="Times New Roman" w:cs="Times New Roman"/>
                <w:b/>
                <w:bCs/>
                <w:kern w:val="0"/>
                <w:sz w:val="24"/>
                <w:szCs w:val="24"/>
              </w:rPr>
              <w:t>）</w:t>
            </w:r>
          </w:p>
        </w:tc>
        <w:tc>
          <w:tcPr>
            <w:tcW w:w="744" w:type="pct"/>
            <w:tcBorders>
              <w:top w:val="single" w:color="auto" w:sz="4" w:space="0"/>
              <w:left w:val="single" w:color="auto" w:sz="4" w:space="0"/>
              <w:bottom w:val="single" w:color="auto" w:sz="4" w:space="0"/>
              <w:right w:val="single" w:color="auto" w:sz="4" w:space="0"/>
            </w:tcBorders>
            <w:shd w:val="clear" w:color="auto" w:fill="DEEBF6"/>
            <w:vAlign w:val="center"/>
          </w:tcPr>
          <w:p w14:paraId="0340A8B0">
            <w:pPr>
              <w:widowControl/>
              <w:rPr>
                <w:rFonts w:ascii="Times New Roman" w:hAnsi="Times New Roman" w:cs="Times New Roman"/>
                <w:b/>
                <w:bCs/>
                <w:kern w:val="0"/>
                <w:sz w:val="24"/>
                <w:szCs w:val="24"/>
              </w:rPr>
            </w:pPr>
            <w:r>
              <w:rPr>
                <w:rFonts w:hint="eastAsia" w:ascii="Times New Roman" w:hAnsi="Times New Roman" w:cs="Times New Roman"/>
                <w:b/>
                <w:bCs/>
                <w:kern w:val="0"/>
                <w:sz w:val="24"/>
                <w:szCs w:val="24"/>
              </w:rPr>
              <w:t>对于关系的依赖/影响</w:t>
            </w: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14:paraId="7A71B276">
            <w:pPr>
              <w:widowControl/>
              <w:rPr>
                <w:rFonts w:ascii="Times New Roman" w:hAnsi="Times New Roman" w:cs="Times New Roman"/>
                <w:b/>
                <w:bCs/>
                <w:kern w:val="0"/>
                <w:sz w:val="24"/>
                <w:szCs w:val="24"/>
              </w:rPr>
            </w:pPr>
            <w:r>
              <w:rPr>
                <w:rFonts w:hint="eastAsia" w:ascii="Times New Roman" w:hAnsi="Times New Roman" w:cs="Times New Roman"/>
                <w:b/>
                <w:bCs/>
                <w:kern w:val="0"/>
                <w:sz w:val="24"/>
                <w:szCs w:val="24"/>
              </w:rPr>
              <w:t>方式</w:t>
            </w:r>
            <w:r>
              <w:rPr>
                <w:rFonts w:ascii="Times New Roman" w:hAnsi="Times New Roman" w:cs="Times New Roman"/>
                <w:b/>
                <w:bCs/>
                <w:kern w:val="0"/>
                <w:sz w:val="24"/>
                <w:szCs w:val="24"/>
              </w:rPr>
              <w:t>1</w:t>
            </w:r>
            <w:r>
              <w:rPr>
                <w:rFonts w:hint="eastAsia" w:ascii="Times New Roman" w:hAnsi="Times New Roman" w:cs="Times New Roman"/>
                <w:b/>
                <w:bCs/>
                <w:kern w:val="0"/>
                <w:sz w:val="24"/>
                <w:szCs w:val="24"/>
              </w:rPr>
              <w:t>：财务影响程度定性判断</w:t>
            </w:r>
          </w:p>
        </w:tc>
        <w:tc>
          <w:tcPr>
            <w:tcW w:w="845" w:type="pct"/>
            <w:tcBorders>
              <w:top w:val="single" w:color="auto" w:sz="4" w:space="0"/>
              <w:left w:val="single" w:color="auto" w:sz="4" w:space="0"/>
              <w:bottom w:val="single" w:color="auto" w:sz="4" w:space="0"/>
              <w:right w:val="single" w:color="auto" w:sz="4" w:space="0"/>
            </w:tcBorders>
            <w:shd w:val="clear" w:color="auto" w:fill="auto"/>
            <w:vAlign w:val="center"/>
          </w:tcPr>
          <w:p w14:paraId="1B0A516A">
            <w:pPr>
              <w:widowControl/>
              <w:rPr>
                <w:rFonts w:ascii="Times New Roman" w:hAnsi="Times New Roman" w:cs="Times New Roman"/>
                <w:b/>
                <w:bCs/>
                <w:kern w:val="0"/>
                <w:sz w:val="24"/>
                <w:szCs w:val="24"/>
              </w:rPr>
            </w:pPr>
            <w:r>
              <w:rPr>
                <w:rFonts w:hint="eastAsia" w:ascii="Times New Roman" w:hAnsi="Times New Roman" w:cs="Times New Roman"/>
                <w:b/>
                <w:bCs/>
                <w:kern w:val="0"/>
                <w:sz w:val="24"/>
                <w:szCs w:val="24"/>
              </w:rPr>
              <w:t>方式</w:t>
            </w:r>
            <w:r>
              <w:rPr>
                <w:rFonts w:ascii="Times New Roman" w:hAnsi="Times New Roman" w:cs="Times New Roman"/>
                <w:b/>
                <w:bCs/>
                <w:kern w:val="0"/>
                <w:sz w:val="24"/>
                <w:szCs w:val="24"/>
              </w:rPr>
              <w:t>2</w:t>
            </w:r>
            <w:r>
              <w:rPr>
                <w:rFonts w:hint="eastAsia" w:ascii="Times New Roman" w:hAnsi="Times New Roman" w:cs="Times New Roman"/>
                <w:b/>
                <w:bCs/>
                <w:kern w:val="0"/>
                <w:sz w:val="24"/>
                <w:szCs w:val="24"/>
              </w:rPr>
              <w:t>：定量货币价值影响（万元）或百分比（</w:t>
            </w:r>
            <w:r>
              <w:rPr>
                <w:rFonts w:ascii="Times New Roman" w:hAnsi="Times New Roman" w:cs="Times New Roman"/>
                <w:b/>
                <w:bCs/>
                <w:kern w:val="0"/>
                <w:sz w:val="24"/>
                <w:szCs w:val="24"/>
              </w:rPr>
              <w:t>%</w:t>
            </w:r>
            <w:r>
              <w:rPr>
                <w:rFonts w:hint="eastAsia" w:ascii="Times New Roman" w:hAnsi="Times New Roman" w:cs="Times New Roman"/>
                <w:b/>
                <w:bCs/>
                <w:kern w:val="0"/>
                <w:sz w:val="24"/>
                <w:szCs w:val="24"/>
              </w:rPr>
              <w:t>）</w:t>
            </w:r>
          </w:p>
        </w:tc>
      </w:tr>
      <w:tr w14:paraId="6A922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14" w:type="pct"/>
            <w:vMerge w:val="restart"/>
            <w:tcBorders>
              <w:top w:val="single" w:color="auto" w:sz="4" w:space="0"/>
              <w:left w:val="single" w:color="auto" w:sz="4" w:space="0"/>
              <w:right w:val="single" w:color="auto" w:sz="4" w:space="0"/>
            </w:tcBorders>
            <w:shd w:val="clear" w:color="auto" w:fill="DEEBF6"/>
            <w:vAlign w:val="center"/>
          </w:tcPr>
          <w:p w14:paraId="7588BD60">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例如，能源利用、水资源利用等</w:t>
            </w:r>
          </w:p>
          <w:p w14:paraId="7C7B4D8C">
            <w:pPr>
              <w:widowControl/>
              <w:jc w:val="left"/>
              <w:rPr>
                <w:rFonts w:ascii="Times New Roman" w:hAnsi="Times New Roman" w:cs="Times New Roman"/>
                <w:color w:val="000000"/>
                <w:kern w:val="0"/>
                <w:sz w:val="24"/>
                <w:szCs w:val="24"/>
              </w:rPr>
            </w:pPr>
          </w:p>
          <w:p w14:paraId="33C30CE7">
            <w:pPr>
              <w:widowControl/>
              <w:jc w:val="left"/>
              <w:rPr>
                <w:rFonts w:ascii="Times New Roman" w:hAnsi="Times New Roman" w:cs="Times New Roman"/>
                <w:color w:val="000000"/>
                <w:kern w:val="0"/>
                <w:sz w:val="24"/>
                <w:szCs w:val="24"/>
              </w:rPr>
            </w:pPr>
          </w:p>
          <w:p w14:paraId="26592D00">
            <w:pPr>
              <w:widowControl/>
              <w:jc w:val="left"/>
              <w:rPr>
                <w:rFonts w:ascii="Times New Roman" w:hAnsi="Times New Roman" w:cs="Times New Roman"/>
                <w:color w:val="000000"/>
                <w:kern w:val="0"/>
                <w:sz w:val="24"/>
                <w:szCs w:val="24"/>
              </w:rPr>
            </w:pPr>
          </w:p>
          <w:p w14:paraId="5B73F67C">
            <w:pPr>
              <w:widowControl/>
              <w:jc w:val="left"/>
              <w:rPr>
                <w:rFonts w:ascii="Times New Roman" w:hAnsi="Times New Roman" w:cs="Times New Roman"/>
                <w:color w:val="000000"/>
                <w:kern w:val="0"/>
                <w:sz w:val="24"/>
                <w:szCs w:val="24"/>
              </w:rPr>
            </w:pPr>
          </w:p>
        </w:tc>
        <w:tc>
          <w:tcPr>
            <w:tcW w:w="942" w:type="pct"/>
            <w:tcBorders>
              <w:top w:val="single" w:color="auto" w:sz="4" w:space="0"/>
              <w:left w:val="single" w:color="auto" w:sz="4" w:space="0"/>
              <w:bottom w:val="single" w:color="auto" w:sz="4" w:space="0"/>
              <w:right w:val="single" w:color="auto" w:sz="4" w:space="0"/>
            </w:tcBorders>
            <w:shd w:val="clear" w:color="auto" w:fill="auto"/>
            <w:vAlign w:val="center"/>
          </w:tcPr>
          <w:p w14:paraId="69871973">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短期、中期和长期内都没有影响（影响极小）</w:t>
            </w:r>
          </w:p>
        </w:tc>
        <w:tc>
          <w:tcPr>
            <w:tcW w:w="907" w:type="pct"/>
            <w:tcBorders>
              <w:top w:val="single" w:color="auto" w:sz="4" w:space="0"/>
              <w:left w:val="single" w:color="auto" w:sz="4" w:space="0"/>
              <w:bottom w:val="single" w:color="auto" w:sz="4" w:space="0"/>
              <w:right w:val="single" w:color="auto" w:sz="4" w:space="0"/>
            </w:tcBorders>
            <w:vAlign w:val="center"/>
          </w:tcPr>
          <w:p w14:paraId="3291AAA9">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&lt;100</w:t>
            </w:r>
            <w:r>
              <w:rPr>
                <w:rFonts w:hint="eastAsia" w:ascii="Times New Roman" w:hAnsi="Times New Roman" w:cs="Times New Roman"/>
                <w:color w:val="000000"/>
                <w:kern w:val="0"/>
                <w:sz w:val="24"/>
                <w:szCs w:val="24"/>
              </w:rPr>
              <w:t>或</w:t>
            </w:r>
          </w:p>
          <w:p w14:paraId="6DE9E782">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w:t>
            </w:r>
            <w:r>
              <w:rPr>
                <w:rFonts w:hint="eastAsia" w:ascii="Times New Roman" w:hAnsi="Times New Roman" w:cs="Times New Roman"/>
                <w:color w:val="000000"/>
                <w:kern w:val="0"/>
                <w:sz w:val="24"/>
                <w:szCs w:val="24"/>
              </w:rPr>
              <w:t>净利润的</w:t>
            </w:r>
            <w:r>
              <w:rPr>
                <w:rFonts w:ascii="Times New Roman" w:hAnsi="Times New Roman" w:cs="Times New Roman"/>
                <w:color w:val="000000"/>
                <w:kern w:val="0"/>
                <w:sz w:val="24"/>
                <w:szCs w:val="24"/>
              </w:rPr>
              <w:t>1%</w:t>
            </w:r>
          </w:p>
        </w:tc>
        <w:tc>
          <w:tcPr>
            <w:tcW w:w="744" w:type="pct"/>
            <w:vMerge w:val="restart"/>
            <w:tcBorders>
              <w:top w:val="single" w:color="auto" w:sz="4" w:space="0"/>
              <w:left w:val="single" w:color="auto" w:sz="4" w:space="0"/>
              <w:right w:val="single" w:color="auto" w:sz="4" w:space="0"/>
            </w:tcBorders>
            <w:shd w:val="clear" w:color="auto" w:fill="DEEBF6"/>
            <w:vAlign w:val="center"/>
          </w:tcPr>
          <w:p w14:paraId="586B21C5">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例如，员工、产品和服务安全与质量、创新驱动、供应链安全、反不正当竞争等</w:t>
            </w:r>
          </w:p>
          <w:p w14:paraId="53748F57">
            <w:pPr>
              <w:widowControl/>
              <w:jc w:val="left"/>
              <w:rPr>
                <w:rFonts w:ascii="Times New Roman" w:hAnsi="Times New Roman" w:cs="Times New Roman"/>
                <w:color w:val="000000"/>
                <w:kern w:val="0"/>
                <w:sz w:val="24"/>
                <w:szCs w:val="24"/>
              </w:rPr>
            </w:pPr>
          </w:p>
          <w:p w14:paraId="3A748579">
            <w:pPr>
              <w:widowControl/>
              <w:jc w:val="left"/>
              <w:rPr>
                <w:rFonts w:ascii="Times New Roman" w:hAnsi="Times New Roman" w:cs="Times New Roman"/>
                <w:color w:val="000000"/>
                <w:kern w:val="0"/>
                <w:sz w:val="24"/>
                <w:szCs w:val="24"/>
              </w:rPr>
            </w:pPr>
          </w:p>
          <w:p w14:paraId="3E341667">
            <w:pPr>
              <w:widowControl/>
              <w:jc w:val="left"/>
              <w:rPr>
                <w:rFonts w:ascii="Times New Roman" w:hAnsi="Times New Roman" w:cs="Times New Roman"/>
                <w:color w:val="000000"/>
                <w:kern w:val="0"/>
                <w:sz w:val="24"/>
                <w:szCs w:val="24"/>
              </w:rPr>
            </w:pPr>
          </w:p>
          <w:p w14:paraId="2063E568">
            <w:pPr>
              <w:widowControl/>
              <w:jc w:val="left"/>
              <w:rPr>
                <w:rFonts w:ascii="Times New Roman" w:hAnsi="Times New Roman" w:cs="Times New Roman"/>
                <w:color w:val="000000"/>
                <w:kern w:val="0"/>
                <w:sz w:val="24"/>
                <w:szCs w:val="24"/>
              </w:rPr>
            </w:pP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14:paraId="2398A884">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目前中立，未来可能有影响（影响极小）</w:t>
            </w:r>
          </w:p>
        </w:tc>
        <w:tc>
          <w:tcPr>
            <w:tcW w:w="845" w:type="pct"/>
            <w:tcBorders>
              <w:top w:val="single" w:color="auto" w:sz="4" w:space="0"/>
              <w:left w:val="single" w:color="auto" w:sz="4" w:space="0"/>
              <w:bottom w:val="single" w:color="auto" w:sz="4" w:space="0"/>
              <w:right w:val="single" w:color="auto" w:sz="4" w:space="0"/>
            </w:tcBorders>
            <w:vAlign w:val="center"/>
          </w:tcPr>
          <w:p w14:paraId="2734A190">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&lt;100</w:t>
            </w:r>
            <w:r>
              <w:rPr>
                <w:rFonts w:hint="eastAsia" w:ascii="Times New Roman" w:hAnsi="Times New Roman" w:cs="Times New Roman"/>
                <w:color w:val="000000"/>
                <w:kern w:val="0"/>
                <w:sz w:val="24"/>
                <w:szCs w:val="24"/>
              </w:rPr>
              <w:t>或</w:t>
            </w:r>
          </w:p>
          <w:p w14:paraId="40C63952">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&lt;</w:t>
            </w:r>
            <w:r>
              <w:rPr>
                <w:rFonts w:hint="eastAsia" w:ascii="Times New Roman" w:hAnsi="Times New Roman" w:cs="Times New Roman"/>
                <w:color w:val="000000"/>
                <w:kern w:val="0"/>
                <w:sz w:val="24"/>
                <w:szCs w:val="24"/>
              </w:rPr>
              <w:t>净利润的</w:t>
            </w:r>
            <w:r>
              <w:rPr>
                <w:rFonts w:ascii="Times New Roman" w:hAnsi="Times New Roman" w:cs="Times New Roman"/>
                <w:color w:val="000000"/>
                <w:kern w:val="0"/>
                <w:sz w:val="24"/>
                <w:szCs w:val="24"/>
              </w:rPr>
              <w:t>1%</w:t>
            </w:r>
          </w:p>
        </w:tc>
      </w:tr>
      <w:tr w14:paraId="11B85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4" w:type="pct"/>
            <w:vMerge w:val="continue"/>
            <w:tcBorders>
              <w:left w:val="single" w:color="auto" w:sz="4" w:space="0"/>
              <w:right w:val="single" w:color="auto" w:sz="4" w:space="0"/>
            </w:tcBorders>
            <w:shd w:val="clear" w:color="auto" w:fill="DEEBF6"/>
            <w:vAlign w:val="center"/>
          </w:tcPr>
          <w:p w14:paraId="08E38DBA">
            <w:pPr>
              <w:widowControl/>
              <w:jc w:val="left"/>
              <w:rPr>
                <w:rFonts w:ascii="Times New Roman" w:hAnsi="Times New Roman" w:cs="Times New Roman"/>
                <w:color w:val="000000"/>
                <w:kern w:val="0"/>
                <w:sz w:val="24"/>
                <w:szCs w:val="24"/>
              </w:rPr>
            </w:pPr>
          </w:p>
        </w:tc>
        <w:tc>
          <w:tcPr>
            <w:tcW w:w="942" w:type="pct"/>
            <w:tcBorders>
              <w:top w:val="single" w:color="auto" w:sz="4" w:space="0"/>
              <w:left w:val="single" w:color="auto" w:sz="4" w:space="0"/>
              <w:bottom w:val="single" w:color="auto" w:sz="4" w:space="0"/>
              <w:right w:val="single" w:color="auto" w:sz="4" w:space="0"/>
            </w:tcBorders>
            <w:shd w:val="clear" w:color="auto" w:fill="auto"/>
            <w:vAlign w:val="center"/>
          </w:tcPr>
          <w:p w14:paraId="6A20F697">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在短期、中期和长期内可能有影响（影响较小）</w:t>
            </w:r>
          </w:p>
        </w:tc>
        <w:tc>
          <w:tcPr>
            <w:tcW w:w="907" w:type="pct"/>
            <w:tcBorders>
              <w:top w:val="single" w:color="auto" w:sz="4" w:space="0"/>
              <w:left w:val="single" w:color="auto" w:sz="4" w:space="0"/>
              <w:bottom w:val="single" w:color="auto" w:sz="4" w:space="0"/>
              <w:right w:val="single" w:color="auto" w:sz="4" w:space="0"/>
            </w:tcBorders>
            <w:vAlign w:val="center"/>
          </w:tcPr>
          <w:p w14:paraId="7D6D4F1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100-500</w:t>
            </w:r>
            <w:r>
              <w:rPr>
                <w:rFonts w:hint="eastAsia" w:ascii="Times New Roman" w:hAnsi="Times New Roman" w:cs="Times New Roman"/>
                <w:color w:val="000000"/>
                <w:kern w:val="0"/>
                <w:sz w:val="24"/>
                <w:szCs w:val="24"/>
              </w:rPr>
              <w:t>或净利润的</w:t>
            </w:r>
            <w:r>
              <w:rPr>
                <w:rFonts w:ascii="Times New Roman" w:hAnsi="Times New Roman" w:cs="Times New Roman"/>
                <w:color w:val="000000"/>
                <w:kern w:val="0"/>
                <w:sz w:val="24"/>
                <w:szCs w:val="24"/>
              </w:rPr>
              <w:t>1%-5%</w:t>
            </w:r>
          </w:p>
        </w:tc>
        <w:tc>
          <w:tcPr>
            <w:tcW w:w="744" w:type="pct"/>
            <w:vMerge w:val="continue"/>
            <w:tcBorders>
              <w:left w:val="single" w:color="auto" w:sz="4" w:space="0"/>
              <w:right w:val="single" w:color="auto" w:sz="4" w:space="0"/>
            </w:tcBorders>
            <w:shd w:val="clear" w:color="auto" w:fill="DEEBF6"/>
            <w:vAlign w:val="center"/>
          </w:tcPr>
          <w:p w14:paraId="3DBDF5DC">
            <w:pPr>
              <w:widowControl/>
              <w:jc w:val="left"/>
              <w:rPr>
                <w:rFonts w:ascii="Times New Roman" w:hAnsi="Times New Roman" w:cs="Times New Roman"/>
                <w:color w:val="000000"/>
                <w:kern w:val="0"/>
                <w:sz w:val="24"/>
                <w:szCs w:val="24"/>
              </w:rPr>
            </w:pP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14:paraId="66E5FDCC">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目前或将来有消极影响（影响较小）</w:t>
            </w:r>
          </w:p>
        </w:tc>
        <w:tc>
          <w:tcPr>
            <w:tcW w:w="845" w:type="pct"/>
            <w:tcBorders>
              <w:top w:val="single" w:color="auto" w:sz="4" w:space="0"/>
              <w:left w:val="single" w:color="auto" w:sz="4" w:space="0"/>
              <w:bottom w:val="single" w:color="auto" w:sz="4" w:space="0"/>
              <w:right w:val="single" w:color="auto" w:sz="4" w:space="0"/>
            </w:tcBorders>
            <w:vAlign w:val="center"/>
          </w:tcPr>
          <w:p w14:paraId="0CE14D50">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100-500</w:t>
            </w:r>
            <w:r>
              <w:rPr>
                <w:rFonts w:hint="eastAsia" w:ascii="Times New Roman" w:hAnsi="Times New Roman" w:cs="Times New Roman"/>
                <w:color w:val="000000"/>
                <w:kern w:val="0"/>
                <w:sz w:val="24"/>
                <w:szCs w:val="24"/>
              </w:rPr>
              <w:t>或净利润的</w:t>
            </w:r>
            <w:r>
              <w:rPr>
                <w:rFonts w:ascii="Times New Roman" w:hAnsi="Times New Roman" w:cs="Times New Roman"/>
                <w:color w:val="000000"/>
                <w:kern w:val="0"/>
                <w:sz w:val="24"/>
                <w:szCs w:val="24"/>
              </w:rPr>
              <w:t>1%-5%</w:t>
            </w:r>
          </w:p>
        </w:tc>
      </w:tr>
      <w:tr w14:paraId="3C8D9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4" w:type="pct"/>
            <w:vMerge w:val="continue"/>
            <w:tcBorders>
              <w:left w:val="single" w:color="auto" w:sz="4" w:space="0"/>
              <w:right w:val="single" w:color="auto" w:sz="4" w:space="0"/>
            </w:tcBorders>
            <w:shd w:val="clear" w:color="auto" w:fill="DEEBF6"/>
            <w:vAlign w:val="center"/>
          </w:tcPr>
          <w:p w14:paraId="1A1291C2">
            <w:pPr>
              <w:widowControl/>
              <w:jc w:val="left"/>
              <w:rPr>
                <w:rFonts w:ascii="Times New Roman" w:hAnsi="Times New Roman" w:cs="Times New Roman"/>
                <w:color w:val="000000"/>
                <w:kern w:val="0"/>
                <w:sz w:val="24"/>
                <w:szCs w:val="24"/>
              </w:rPr>
            </w:pPr>
          </w:p>
        </w:tc>
        <w:tc>
          <w:tcPr>
            <w:tcW w:w="942" w:type="pct"/>
            <w:tcBorders>
              <w:top w:val="single" w:color="auto" w:sz="4" w:space="0"/>
              <w:left w:val="single" w:color="auto" w:sz="4" w:space="0"/>
              <w:bottom w:val="single" w:color="auto" w:sz="4" w:space="0"/>
              <w:right w:val="single" w:color="auto" w:sz="4" w:space="0"/>
            </w:tcBorders>
            <w:shd w:val="clear" w:color="auto" w:fill="auto"/>
            <w:vAlign w:val="center"/>
          </w:tcPr>
          <w:p w14:paraId="322D487E">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短期内可能有影响，中期内使用成本高昂，长期内使用成本非常高昂（影响中等）</w:t>
            </w:r>
          </w:p>
        </w:tc>
        <w:tc>
          <w:tcPr>
            <w:tcW w:w="907" w:type="pct"/>
            <w:tcBorders>
              <w:top w:val="single" w:color="auto" w:sz="4" w:space="0"/>
              <w:left w:val="single" w:color="auto" w:sz="4" w:space="0"/>
              <w:bottom w:val="single" w:color="auto" w:sz="4" w:space="0"/>
              <w:right w:val="single" w:color="auto" w:sz="4" w:space="0"/>
            </w:tcBorders>
            <w:vAlign w:val="center"/>
          </w:tcPr>
          <w:p w14:paraId="744E85A5">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500-1000</w:t>
            </w:r>
            <w:r>
              <w:rPr>
                <w:rFonts w:hint="eastAsia" w:ascii="Times New Roman" w:hAnsi="Times New Roman" w:cs="Times New Roman"/>
                <w:color w:val="000000"/>
                <w:kern w:val="0"/>
                <w:sz w:val="24"/>
                <w:szCs w:val="24"/>
              </w:rPr>
              <w:t>或净利润的</w:t>
            </w:r>
            <w:r>
              <w:rPr>
                <w:rFonts w:ascii="Times New Roman" w:hAnsi="Times New Roman" w:cs="Times New Roman"/>
                <w:color w:val="000000"/>
                <w:kern w:val="0"/>
                <w:sz w:val="24"/>
                <w:szCs w:val="24"/>
              </w:rPr>
              <w:t>5%-10%</w:t>
            </w:r>
          </w:p>
        </w:tc>
        <w:tc>
          <w:tcPr>
            <w:tcW w:w="744" w:type="pct"/>
            <w:vMerge w:val="continue"/>
            <w:tcBorders>
              <w:left w:val="single" w:color="auto" w:sz="4" w:space="0"/>
              <w:right w:val="single" w:color="auto" w:sz="4" w:space="0"/>
            </w:tcBorders>
            <w:shd w:val="clear" w:color="auto" w:fill="DEEBF6"/>
            <w:vAlign w:val="center"/>
          </w:tcPr>
          <w:p w14:paraId="38F3C345">
            <w:pPr>
              <w:widowControl/>
              <w:jc w:val="left"/>
              <w:rPr>
                <w:rFonts w:ascii="Times New Roman" w:hAnsi="Times New Roman" w:cs="Times New Roman"/>
                <w:color w:val="000000"/>
                <w:kern w:val="0"/>
                <w:sz w:val="24"/>
                <w:szCs w:val="24"/>
              </w:rPr>
            </w:pP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14:paraId="5CCA0C15">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目前有消极影响，将来可能出现负面影响（影响中等）</w:t>
            </w:r>
          </w:p>
        </w:tc>
        <w:tc>
          <w:tcPr>
            <w:tcW w:w="845" w:type="pct"/>
            <w:tcBorders>
              <w:top w:val="single" w:color="auto" w:sz="4" w:space="0"/>
              <w:left w:val="single" w:color="auto" w:sz="4" w:space="0"/>
              <w:bottom w:val="single" w:color="auto" w:sz="4" w:space="0"/>
              <w:right w:val="single" w:color="auto" w:sz="4" w:space="0"/>
            </w:tcBorders>
            <w:vAlign w:val="center"/>
          </w:tcPr>
          <w:p w14:paraId="6BD5EB99">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500-1000</w:t>
            </w:r>
            <w:r>
              <w:rPr>
                <w:rFonts w:hint="eastAsia" w:ascii="Times New Roman" w:hAnsi="Times New Roman" w:cs="Times New Roman"/>
                <w:color w:val="000000"/>
                <w:kern w:val="0"/>
                <w:sz w:val="24"/>
                <w:szCs w:val="24"/>
              </w:rPr>
              <w:t>或净利润的</w:t>
            </w:r>
            <w:r>
              <w:rPr>
                <w:rFonts w:ascii="Times New Roman" w:hAnsi="Times New Roman" w:cs="Times New Roman"/>
                <w:color w:val="000000"/>
                <w:kern w:val="0"/>
                <w:sz w:val="24"/>
                <w:szCs w:val="24"/>
              </w:rPr>
              <w:t>5%-10%</w:t>
            </w:r>
          </w:p>
        </w:tc>
      </w:tr>
      <w:tr w14:paraId="304B6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4" w:type="pct"/>
            <w:vMerge w:val="continue"/>
            <w:tcBorders>
              <w:left w:val="single" w:color="auto" w:sz="4" w:space="0"/>
              <w:right w:val="single" w:color="auto" w:sz="4" w:space="0"/>
            </w:tcBorders>
            <w:shd w:val="clear" w:color="auto" w:fill="DEEBF6"/>
            <w:vAlign w:val="center"/>
          </w:tcPr>
          <w:p w14:paraId="764E186B">
            <w:pPr>
              <w:widowControl/>
              <w:jc w:val="left"/>
              <w:rPr>
                <w:rFonts w:ascii="Times New Roman" w:hAnsi="Times New Roman" w:cs="Times New Roman"/>
                <w:color w:val="000000"/>
                <w:kern w:val="0"/>
                <w:sz w:val="24"/>
                <w:szCs w:val="24"/>
              </w:rPr>
            </w:pPr>
          </w:p>
        </w:tc>
        <w:tc>
          <w:tcPr>
            <w:tcW w:w="942" w:type="pct"/>
            <w:tcBorders>
              <w:top w:val="single" w:color="auto" w:sz="4" w:space="0"/>
              <w:left w:val="single" w:color="auto" w:sz="4" w:space="0"/>
              <w:bottom w:val="single" w:color="auto" w:sz="4" w:space="0"/>
              <w:right w:val="single" w:color="auto" w:sz="4" w:space="0"/>
            </w:tcBorders>
            <w:shd w:val="clear" w:color="auto" w:fill="auto"/>
            <w:vAlign w:val="center"/>
          </w:tcPr>
          <w:p w14:paraId="7133F808">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短期内可能使用但成本高昂，中期内资源匮乏或成本非常高昂，长期不可能使用（影响较大）</w:t>
            </w:r>
          </w:p>
        </w:tc>
        <w:tc>
          <w:tcPr>
            <w:tcW w:w="907" w:type="pct"/>
            <w:tcBorders>
              <w:top w:val="single" w:color="auto" w:sz="4" w:space="0"/>
              <w:left w:val="single" w:color="auto" w:sz="4" w:space="0"/>
              <w:bottom w:val="single" w:color="auto" w:sz="4" w:space="0"/>
              <w:right w:val="single" w:color="auto" w:sz="4" w:space="0"/>
            </w:tcBorders>
            <w:vAlign w:val="center"/>
          </w:tcPr>
          <w:p w14:paraId="47CA253C">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1000-5000</w:t>
            </w:r>
            <w:r>
              <w:rPr>
                <w:rFonts w:hint="eastAsia" w:ascii="Times New Roman" w:hAnsi="Times New Roman" w:cs="Times New Roman"/>
                <w:color w:val="000000"/>
                <w:kern w:val="0"/>
                <w:sz w:val="24"/>
                <w:szCs w:val="24"/>
              </w:rPr>
              <w:t>或净利润的</w:t>
            </w:r>
            <w:r>
              <w:rPr>
                <w:rFonts w:ascii="Times New Roman" w:hAnsi="Times New Roman" w:cs="Times New Roman"/>
                <w:color w:val="000000"/>
                <w:kern w:val="0"/>
                <w:sz w:val="24"/>
                <w:szCs w:val="24"/>
              </w:rPr>
              <w:t>10%-15%</w:t>
            </w:r>
          </w:p>
        </w:tc>
        <w:tc>
          <w:tcPr>
            <w:tcW w:w="744" w:type="pct"/>
            <w:vMerge w:val="continue"/>
            <w:tcBorders>
              <w:left w:val="single" w:color="auto" w:sz="4" w:space="0"/>
              <w:right w:val="single" w:color="auto" w:sz="4" w:space="0"/>
            </w:tcBorders>
            <w:shd w:val="clear" w:color="auto" w:fill="DEEBF6"/>
            <w:vAlign w:val="center"/>
          </w:tcPr>
          <w:p w14:paraId="40E94479">
            <w:pPr>
              <w:widowControl/>
              <w:jc w:val="left"/>
              <w:rPr>
                <w:rFonts w:ascii="Times New Roman" w:hAnsi="Times New Roman" w:cs="Times New Roman"/>
                <w:color w:val="000000"/>
                <w:kern w:val="0"/>
                <w:sz w:val="24"/>
                <w:szCs w:val="24"/>
              </w:rPr>
            </w:pP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14:paraId="2B90DCB5">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目前有负面影响，将来可能出现强烈的负面影响（影响较大）</w:t>
            </w:r>
          </w:p>
        </w:tc>
        <w:tc>
          <w:tcPr>
            <w:tcW w:w="845" w:type="pct"/>
            <w:tcBorders>
              <w:top w:val="single" w:color="auto" w:sz="4" w:space="0"/>
              <w:left w:val="single" w:color="auto" w:sz="4" w:space="0"/>
              <w:bottom w:val="single" w:color="auto" w:sz="4" w:space="0"/>
              <w:right w:val="single" w:color="auto" w:sz="4" w:space="0"/>
            </w:tcBorders>
            <w:vAlign w:val="center"/>
          </w:tcPr>
          <w:p w14:paraId="778A7D17">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1000-5000</w:t>
            </w:r>
            <w:r>
              <w:rPr>
                <w:rFonts w:hint="eastAsia" w:ascii="Times New Roman" w:hAnsi="Times New Roman" w:cs="Times New Roman"/>
                <w:color w:val="000000"/>
                <w:kern w:val="0"/>
                <w:sz w:val="24"/>
                <w:szCs w:val="24"/>
              </w:rPr>
              <w:t>或净利润的</w:t>
            </w:r>
            <w:r>
              <w:rPr>
                <w:rFonts w:ascii="Times New Roman" w:hAnsi="Times New Roman" w:cs="Times New Roman"/>
                <w:color w:val="000000"/>
                <w:kern w:val="0"/>
                <w:sz w:val="24"/>
                <w:szCs w:val="24"/>
              </w:rPr>
              <w:t>10%-15%</w:t>
            </w:r>
          </w:p>
        </w:tc>
      </w:tr>
      <w:tr w14:paraId="1055B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4" w:type="pct"/>
            <w:vMerge w:val="continue"/>
            <w:tcBorders>
              <w:left w:val="single" w:color="auto" w:sz="4" w:space="0"/>
              <w:bottom w:val="single" w:color="auto" w:sz="4" w:space="0"/>
              <w:right w:val="single" w:color="auto" w:sz="4" w:space="0"/>
            </w:tcBorders>
            <w:shd w:val="clear" w:color="auto" w:fill="DEEBF6"/>
            <w:vAlign w:val="center"/>
          </w:tcPr>
          <w:p w14:paraId="64E278BA">
            <w:pPr>
              <w:widowControl/>
              <w:jc w:val="left"/>
              <w:rPr>
                <w:rFonts w:ascii="Times New Roman" w:hAnsi="Times New Roman" w:cs="Times New Roman"/>
                <w:color w:val="000000"/>
                <w:kern w:val="0"/>
                <w:sz w:val="24"/>
                <w:szCs w:val="24"/>
              </w:rPr>
            </w:pPr>
          </w:p>
        </w:tc>
        <w:tc>
          <w:tcPr>
            <w:tcW w:w="942" w:type="pct"/>
            <w:tcBorders>
              <w:top w:val="single" w:color="auto" w:sz="4" w:space="0"/>
              <w:left w:val="single" w:color="auto" w:sz="4" w:space="0"/>
              <w:bottom w:val="single" w:color="auto" w:sz="4" w:space="0"/>
              <w:right w:val="single" w:color="auto" w:sz="4" w:space="0"/>
            </w:tcBorders>
            <w:shd w:val="clear" w:color="auto" w:fill="auto"/>
            <w:vAlign w:val="center"/>
          </w:tcPr>
          <w:p w14:paraId="06B3BFE9">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不可能使用，成本非常高昂，或在短期内无法获得（影响极大）</w:t>
            </w:r>
          </w:p>
        </w:tc>
        <w:tc>
          <w:tcPr>
            <w:tcW w:w="907" w:type="pct"/>
            <w:tcBorders>
              <w:top w:val="single" w:color="auto" w:sz="4" w:space="0"/>
              <w:left w:val="single" w:color="auto" w:sz="4" w:space="0"/>
              <w:bottom w:val="single" w:color="auto" w:sz="4" w:space="0"/>
              <w:right w:val="single" w:color="auto" w:sz="4" w:space="0"/>
            </w:tcBorders>
            <w:vAlign w:val="center"/>
          </w:tcPr>
          <w:p w14:paraId="01265BA8">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&gt;5000</w:t>
            </w:r>
            <w:r>
              <w:rPr>
                <w:rFonts w:hint="eastAsia" w:ascii="Times New Roman" w:hAnsi="Times New Roman" w:cs="Times New Roman"/>
                <w:color w:val="000000"/>
                <w:kern w:val="0"/>
                <w:sz w:val="24"/>
                <w:szCs w:val="24"/>
              </w:rPr>
              <w:t>或</w:t>
            </w:r>
          </w:p>
          <w:p w14:paraId="320DE436">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w:t>
            </w:r>
            <w:r>
              <w:rPr>
                <w:rFonts w:hint="eastAsia" w:ascii="Times New Roman" w:hAnsi="Times New Roman" w:cs="Times New Roman"/>
                <w:color w:val="000000"/>
                <w:kern w:val="0"/>
                <w:sz w:val="24"/>
                <w:szCs w:val="24"/>
              </w:rPr>
              <w:t>净利润的</w:t>
            </w:r>
            <w:r>
              <w:rPr>
                <w:rFonts w:ascii="Times New Roman" w:hAnsi="Times New Roman" w:cs="Times New Roman"/>
                <w:color w:val="000000"/>
                <w:kern w:val="0"/>
                <w:sz w:val="24"/>
                <w:szCs w:val="24"/>
              </w:rPr>
              <w:t>15%</w:t>
            </w:r>
          </w:p>
        </w:tc>
        <w:tc>
          <w:tcPr>
            <w:tcW w:w="744" w:type="pct"/>
            <w:vMerge w:val="continue"/>
            <w:tcBorders>
              <w:left w:val="single" w:color="auto" w:sz="4" w:space="0"/>
              <w:bottom w:val="single" w:color="auto" w:sz="4" w:space="0"/>
              <w:right w:val="single" w:color="auto" w:sz="4" w:space="0"/>
            </w:tcBorders>
            <w:shd w:val="clear" w:color="auto" w:fill="DEEBF6"/>
            <w:vAlign w:val="center"/>
          </w:tcPr>
          <w:p w14:paraId="19ABDC7A">
            <w:pPr>
              <w:widowControl/>
              <w:jc w:val="left"/>
              <w:rPr>
                <w:rFonts w:ascii="Times New Roman" w:hAnsi="Times New Roman" w:cs="Times New Roman"/>
                <w:color w:val="000000"/>
                <w:kern w:val="0"/>
                <w:sz w:val="24"/>
                <w:szCs w:val="24"/>
              </w:rPr>
            </w:pPr>
          </w:p>
        </w:tc>
        <w:tc>
          <w:tcPr>
            <w:tcW w:w="848" w:type="pct"/>
            <w:tcBorders>
              <w:top w:val="single" w:color="auto" w:sz="4" w:space="0"/>
              <w:left w:val="single" w:color="auto" w:sz="4" w:space="0"/>
              <w:bottom w:val="single" w:color="auto" w:sz="4" w:space="0"/>
              <w:right w:val="single" w:color="auto" w:sz="4" w:space="0"/>
            </w:tcBorders>
            <w:shd w:val="clear" w:color="auto" w:fill="auto"/>
            <w:vAlign w:val="center"/>
          </w:tcPr>
          <w:p w14:paraId="63D0CD3D">
            <w:pPr>
              <w:widowControl/>
              <w:jc w:val="left"/>
              <w:rPr>
                <w:rFonts w:ascii="Times New Roman" w:hAnsi="Times New Roman" w:cs="Times New Roman"/>
                <w:color w:val="000000"/>
                <w:kern w:val="0"/>
                <w:sz w:val="24"/>
                <w:szCs w:val="24"/>
              </w:rPr>
            </w:pPr>
            <w:r>
              <w:rPr>
                <w:rFonts w:hint="eastAsia" w:ascii="Times New Roman" w:hAnsi="Times New Roman" w:cs="Times New Roman"/>
                <w:color w:val="000000"/>
                <w:kern w:val="0"/>
                <w:sz w:val="24"/>
                <w:szCs w:val="24"/>
              </w:rPr>
              <w:t>目前或将来很可能出现强烈的负面影响（影响极大）</w:t>
            </w:r>
          </w:p>
        </w:tc>
        <w:tc>
          <w:tcPr>
            <w:tcW w:w="845" w:type="pct"/>
            <w:tcBorders>
              <w:top w:val="single" w:color="auto" w:sz="4" w:space="0"/>
              <w:left w:val="single" w:color="auto" w:sz="4" w:space="0"/>
              <w:bottom w:val="single" w:color="auto" w:sz="4" w:space="0"/>
              <w:right w:val="single" w:color="auto" w:sz="4" w:space="0"/>
            </w:tcBorders>
            <w:vAlign w:val="center"/>
          </w:tcPr>
          <w:p w14:paraId="7883AE52">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&gt;5000</w:t>
            </w:r>
            <w:r>
              <w:rPr>
                <w:rFonts w:hint="eastAsia" w:ascii="Times New Roman" w:hAnsi="Times New Roman" w:cs="Times New Roman"/>
                <w:color w:val="000000"/>
                <w:kern w:val="0"/>
                <w:sz w:val="24"/>
                <w:szCs w:val="24"/>
              </w:rPr>
              <w:t>或</w:t>
            </w:r>
          </w:p>
          <w:p w14:paraId="3C27C4F0">
            <w:pPr>
              <w:widowControl/>
              <w:jc w:val="center"/>
              <w:rPr>
                <w:rFonts w:ascii="Times New Roman" w:hAnsi="Times New Roman" w:cs="Times New Roman"/>
                <w:color w:val="000000"/>
                <w:kern w:val="0"/>
                <w:sz w:val="24"/>
                <w:szCs w:val="24"/>
              </w:rPr>
            </w:pPr>
            <w:r>
              <w:rPr>
                <w:rFonts w:ascii="Times New Roman" w:hAnsi="Times New Roman" w:cs="Times New Roman"/>
                <w:color w:val="000000"/>
                <w:kern w:val="0"/>
                <w:sz w:val="24"/>
                <w:szCs w:val="24"/>
              </w:rPr>
              <w:t>&gt;</w:t>
            </w:r>
            <w:r>
              <w:rPr>
                <w:rFonts w:hint="eastAsia" w:ascii="Times New Roman" w:hAnsi="Times New Roman" w:cs="Times New Roman"/>
                <w:color w:val="000000"/>
                <w:kern w:val="0"/>
                <w:sz w:val="24"/>
                <w:szCs w:val="24"/>
              </w:rPr>
              <w:t>净利润的</w:t>
            </w:r>
            <w:r>
              <w:rPr>
                <w:rFonts w:ascii="Times New Roman" w:hAnsi="Times New Roman" w:cs="Times New Roman"/>
                <w:color w:val="000000"/>
                <w:kern w:val="0"/>
                <w:sz w:val="24"/>
                <w:szCs w:val="24"/>
              </w:rPr>
              <w:t>15%</w:t>
            </w:r>
          </w:p>
        </w:tc>
      </w:tr>
    </w:tbl>
    <w:p w14:paraId="1DD04FF2">
      <w:pPr>
        <w:widowControl/>
        <w:adjustRightInd w:val="0"/>
        <w:snapToGrid w:val="0"/>
        <w:spacing w:line="560" w:lineRule="exact"/>
        <w:ind w:firstLine="480" w:firstLineChars="200"/>
        <w:rPr>
          <w:rFonts w:ascii="Times New Roman" w:hAnsi="Times New Roman" w:cs="Times New Roman"/>
          <w:sz w:val="28"/>
          <w:szCs w:val="28"/>
          <w:lang w:bidi="ar"/>
        </w:rPr>
      </w:pPr>
      <w:r>
        <w:rPr>
          <w:rFonts w:ascii="Times New Roman" w:hAnsi="Times New Roman" w:cs="Times New Roman"/>
          <w:sz w:val="24"/>
          <w:szCs w:val="24"/>
          <w:lang w:bidi="ar"/>
        </w:rPr>
        <w:t xml:space="preserve"> </w:t>
      </w:r>
      <w:r>
        <w:rPr>
          <w:rFonts w:hint="eastAsia" w:ascii="Times New Roman" w:hAnsi="Times New Roman" w:cs="Times New Roman"/>
          <w:sz w:val="24"/>
          <w:szCs w:val="24"/>
          <w:lang w:bidi="ar"/>
        </w:rPr>
        <w:t>注：表格中文字、数值仅供示例参考，公司应结合自身情况确定。</w:t>
      </w:r>
    </w:p>
    <w:p w14:paraId="54D7A96C">
      <w:pPr>
        <w:widowControl/>
        <w:adjustRightInd w:val="0"/>
        <w:snapToGrid w:val="0"/>
        <w:spacing w:before="156" w:beforeLines="50"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此外，财务报表主要反映历史信息，可持续发展报告中财务重要性评估还需考虑未来信息，两者时间跨度不一致。公司可能需要考虑可持续议题在较长时间内对收入、成本等财务因素的累积影响。同样，对于财务影响发生的可能性，也需要考虑一段时间内的累积概率，以涵盖长期范围。</w:t>
      </w:r>
    </w:p>
    <w:p w14:paraId="037554A3">
      <w:pPr>
        <w:widowControl/>
        <w:adjustRightInd w:val="0"/>
        <w:snapToGrid w:val="0"/>
        <w:spacing w:line="560" w:lineRule="exact"/>
        <w:ind w:firstLine="602" w:firstLineChars="200"/>
        <w:rPr>
          <w:rFonts w:ascii="Times New Roman" w:hAnsi="Times New Roman" w:cs="Times New Roman"/>
          <w:b/>
          <w:kern w:val="0"/>
          <w:szCs w:val="30"/>
        </w:rPr>
      </w:pPr>
      <w:r>
        <w:rPr>
          <w:rFonts w:hint="eastAsia" w:ascii="Times New Roman" w:hAnsi="Times New Roman" w:cs="Times New Roman"/>
          <w:b/>
          <w:bCs/>
          <w:szCs w:val="30"/>
          <w:lang w:bidi="ar"/>
        </w:rPr>
        <w:t>（2）</w:t>
      </w:r>
      <w:r>
        <w:rPr>
          <w:rFonts w:hint="eastAsia" w:ascii="Times New Roman" w:hAnsi="Times New Roman" w:cs="Times New Roman"/>
          <w:b/>
          <w:kern w:val="0"/>
          <w:szCs w:val="30"/>
        </w:rPr>
        <w:t>利益相关方与专家参与</w:t>
      </w:r>
    </w:p>
    <w:p w14:paraId="37F69B22">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通过对公司内部相关部门及管理层，以及股东、投资者和债权人等利益相关方开展调研，就财务重要性议题进行沟通，可以帮助公司确定财务重要性议题</w:t>
      </w:r>
      <w:r>
        <w:rPr>
          <w:rFonts w:hint="eastAsia" w:ascii="Times New Roman" w:hAnsi="Times New Roman" w:cs="Times New Roman"/>
          <w:kern w:val="0"/>
          <w:szCs w:val="30"/>
        </w:rPr>
        <w:t>，也可通过采用不同背景的专家评分方式，作为利益相关方调研的替代方案。</w:t>
      </w:r>
    </w:p>
    <w:p w14:paraId="3E9017CE">
      <w:pPr>
        <w:widowControl/>
        <w:adjustRightInd w:val="0"/>
        <w:snapToGrid w:val="0"/>
        <w:spacing w:line="560" w:lineRule="exact"/>
        <w:ind w:firstLine="602" w:firstLineChars="200"/>
        <w:rPr>
          <w:rFonts w:ascii="Times New Roman" w:hAnsi="Times New Roman" w:cs="Times New Roman"/>
          <w:b/>
          <w:szCs w:val="30"/>
          <w:lang w:bidi="ar"/>
        </w:rPr>
      </w:pPr>
      <w:r>
        <w:rPr>
          <w:rFonts w:hint="eastAsia" w:ascii="Times New Roman" w:hAnsi="Times New Roman" w:cs="Times New Roman"/>
          <w:b/>
          <w:szCs w:val="30"/>
          <w:lang w:bidi="ar"/>
        </w:rPr>
        <w:t>（3）设置判定财务重要性的阈值</w:t>
      </w:r>
    </w:p>
    <w:p w14:paraId="143DF0B1">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定量和定性因素均可被作为财务重要性的判断阈值。如某项可持续议题在当前无法量化其财务影响，其阈值可以依据定性因素和可能影响的范围（高</w:t>
      </w:r>
      <w:r>
        <w:rPr>
          <w:rFonts w:ascii="Times New Roman" w:hAnsi="Times New Roman" w:cs="Times New Roman"/>
          <w:szCs w:val="30"/>
          <w:lang w:bidi="ar"/>
        </w:rPr>
        <w:t>/</w:t>
      </w:r>
      <w:r>
        <w:rPr>
          <w:rFonts w:hint="eastAsia" w:ascii="Times New Roman" w:hAnsi="Times New Roman" w:cs="Times New Roman"/>
          <w:szCs w:val="30"/>
          <w:lang w:bidi="ar"/>
        </w:rPr>
        <w:t>中</w:t>
      </w:r>
      <w:r>
        <w:rPr>
          <w:rFonts w:ascii="Times New Roman" w:hAnsi="Times New Roman" w:cs="Times New Roman"/>
          <w:szCs w:val="30"/>
          <w:lang w:bidi="ar"/>
        </w:rPr>
        <w:t>/</w:t>
      </w:r>
      <w:r>
        <w:rPr>
          <w:rFonts w:hint="eastAsia" w:ascii="Times New Roman" w:hAnsi="Times New Roman" w:cs="Times New Roman"/>
          <w:szCs w:val="30"/>
          <w:lang w:bidi="ar"/>
        </w:rPr>
        <w:t>低）进行评估。例如，根据公司所在的行业、其商业模式的特点或运营情况，公司可能面临特定的声誉风险，虽然现金流影响难以量化，但声誉风险可能会影响资金可得性或融资成本，因此可能具有财务重要性。</w:t>
      </w:r>
    </w:p>
    <w:p w14:paraId="4C7F167D">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表9：定性阈值判断示例</w:t>
      </w:r>
    </w:p>
    <w:tbl>
      <w:tblPr>
        <w:tblStyle w:val="27"/>
        <w:tblpPr w:leftFromText="180" w:rightFromText="180" w:vertAnchor="text" w:horzAnchor="page" w:tblpXSpec="center" w:tblpY="14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04"/>
        <w:gridCol w:w="4218"/>
      </w:tblGrid>
      <w:tr w14:paraId="1B9E2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25" w:type="pct"/>
            <w:shd w:val="clear" w:color="auto" w:fill="auto"/>
            <w:vAlign w:val="center"/>
          </w:tcPr>
          <w:p w14:paraId="48820639">
            <w:pPr>
              <w:widowControl/>
              <w:autoSpaceDE w:val="0"/>
              <w:jc w:val="center"/>
              <w:rPr>
                <w:rFonts w:ascii="Times New Roman" w:hAnsi="Times New Roman" w:cs="Times New Roman"/>
                <w:b/>
                <w:bCs/>
                <w:kern w:val="0"/>
                <w:sz w:val="24"/>
                <w:szCs w:val="20"/>
              </w:rPr>
            </w:pPr>
            <w:r>
              <w:rPr>
                <w:rFonts w:hint="eastAsia" w:ascii="Times New Roman" w:hAnsi="Times New Roman" w:cs="Times New Roman"/>
                <w:b/>
                <w:bCs/>
                <w:kern w:val="0"/>
                <w:sz w:val="24"/>
                <w:szCs w:val="20"/>
              </w:rPr>
              <w:t>财务影响</w:t>
            </w:r>
          </w:p>
        </w:tc>
        <w:tc>
          <w:tcPr>
            <w:tcW w:w="2474" w:type="pct"/>
          </w:tcPr>
          <w:p w14:paraId="358E7135">
            <w:pPr>
              <w:widowControl/>
              <w:autoSpaceDE w:val="0"/>
              <w:jc w:val="center"/>
              <w:rPr>
                <w:rFonts w:ascii="Times New Roman" w:hAnsi="Times New Roman" w:cs="Times New Roman"/>
                <w:b/>
                <w:bCs/>
                <w:kern w:val="0"/>
                <w:sz w:val="24"/>
                <w:szCs w:val="20"/>
              </w:rPr>
            </w:pPr>
            <w:r>
              <w:rPr>
                <w:rFonts w:hint="eastAsia" w:ascii="Times New Roman" w:hAnsi="Times New Roman" w:cs="Times New Roman"/>
                <w:b/>
                <w:bCs/>
                <w:kern w:val="0"/>
                <w:sz w:val="24"/>
                <w:szCs w:val="20"/>
              </w:rPr>
              <w:t>是否具有财务重要性</w:t>
            </w:r>
          </w:p>
          <w:p w14:paraId="6342FDB9">
            <w:pPr>
              <w:widowControl/>
              <w:autoSpaceDE w:val="0"/>
              <w:jc w:val="center"/>
              <w:rPr>
                <w:rFonts w:ascii="Times New Roman" w:hAnsi="Times New Roman" w:cs="Times New Roman"/>
                <w:b/>
                <w:bCs/>
                <w:kern w:val="0"/>
                <w:sz w:val="24"/>
                <w:szCs w:val="20"/>
              </w:rPr>
            </w:pPr>
            <w:r>
              <w:rPr>
                <w:rFonts w:hint="eastAsia" w:ascii="Times New Roman" w:hAnsi="Times New Roman" w:cs="Times New Roman"/>
                <w:kern w:val="0"/>
                <w:sz w:val="24"/>
                <w:szCs w:val="20"/>
              </w:rPr>
              <w:t>（假设阈值为“中等”）</w:t>
            </w:r>
          </w:p>
        </w:tc>
      </w:tr>
      <w:tr w14:paraId="3434A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25" w:type="pct"/>
            <w:vAlign w:val="center"/>
          </w:tcPr>
          <w:p w14:paraId="74D26EF1">
            <w:pPr>
              <w:widowControl/>
              <w:autoSpaceDE w:val="0"/>
              <w:jc w:val="center"/>
              <w:rPr>
                <w:rFonts w:ascii="Times New Roman" w:hAnsi="Times New Roman" w:cs="Times New Roman"/>
                <w:kern w:val="0"/>
                <w:sz w:val="24"/>
                <w:szCs w:val="20"/>
              </w:rPr>
            </w:pPr>
            <w:r>
              <w:rPr>
                <w:rFonts w:hint="eastAsia" w:ascii="Times New Roman" w:hAnsi="Times New Roman" w:cs="Times New Roman"/>
                <w:kern w:val="0"/>
                <w:sz w:val="24"/>
                <w:szCs w:val="24"/>
              </w:rPr>
              <w:t>极小</w:t>
            </w:r>
          </w:p>
        </w:tc>
        <w:tc>
          <w:tcPr>
            <w:tcW w:w="2474" w:type="pct"/>
          </w:tcPr>
          <w:p w14:paraId="168A84B0">
            <w:pPr>
              <w:widowControl/>
              <w:autoSpaceDE w:val="0"/>
              <w:spacing w:line="360" w:lineRule="auto"/>
              <w:jc w:val="center"/>
              <w:rPr>
                <w:rFonts w:ascii="Times New Roman" w:hAnsi="Times New Roman" w:cs="Times New Roman"/>
                <w:kern w:val="0"/>
                <w:sz w:val="24"/>
                <w:szCs w:val="20"/>
              </w:rPr>
            </w:pPr>
            <w:r>
              <w:rPr>
                <w:rFonts w:hint="eastAsia" w:ascii="Times New Roman" w:hAnsi="Times New Roman" w:cs="Times New Roman"/>
                <w:kern w:val="0"/>
                <w:sz w:val="24"/>
                <w:szCs w:val="20"/>
              </w:rPr>
              <w:t>否</w:t>
            </w:r>
          </w:p>
        </w:tc>
      </w:tr>
      <w:tr w14:paraId="3A72F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25" w:type="pct"/>
            <w:vAlign w:val="center"/>
          </w:tcPr>
          <w:p w14:paraId="71FD3F6A">
            <w:pPr>
              <w:widowControl/>
              <w:autoSpaceDE w:val="0"/>
              <w:jc w:val="center"/>
              <w:rPr>
                <w:rFonts w:ascii="Times New Roman" w:hAnsi="Times New Roman" w:cs="Times New Roman"/>
                <w:kern w:val="0"/>
                <w:sz w:val="24"/>
                <w:szCs w:val="20"/>
              </w:rPr>
            </w:pPr>
            <w:r>
              <w:rPr>
                <w:rFonts w:hint="eastAsia" w:ascii="Times New Roman" w:hAnsi="Times New Roman" w:cs="Times New Roman"/>
                <w:kern w:val="0"/>
                <w:sz w:val="24"/>
                <w:szCs w:val="24"/>
              </w:rPr>
              <w:t>较小</w:t>
            </w:r>
          </w:p>
        </w:tc>
        <w:tc>
          <w:tcPr>
            <w:tcW w:w="2474" w:type="pct"/>
          </w:tcPr>
          <w:p w14:paraId="1E73F7DA">
            <w:pPr>
              <w:widowControl/>
              <w:autoSpaceDE w:val="0"/>
              <w:spacing w:line="360" w:lineRule="auto"/>
              <w:jc w:val="center"/>
              <w:rPr>
                <w:rFonts w:ascii="Times New Roman" w:hAnsi="Times New Roman" w:cs="Times New Roman"/>
                <w:kern w:val="0"/>
                <w:sz w:val="24"/>
                <w:szCs w:val="20"/>
              </w:rPr>
            </w:pPr>
            <w:r>
              <w:rPr>
                <w:rFonts w:hint="eastAsia" w:ascii="Times New Roman" w:hAnsi="Times New Roman" w:cs="Times New Roman"/>
                <w:kern w:val="0"/>
                <w:sz w:val="24"/>
                <w:szCs w:val="20"/>
              </w:rPr>
              <w:t>否</w:t>
            </w:r>
          </w:p>
        </w:tc>
      </w:tr>
      <w:tr w14:paraId="0C443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2525" w:type="pct"/>
            <w:vAlign w:val="center"/>
          </w:tcPr>
          <w:p w14:paraId="3E6A9F65">
            <w:pPr>
              <w:widowControl/>
              <w:autoSpaceDE w:val="0"/>
              <w:jc w:val="center"/>
              <w:rPr>
                <w:rFonts w:ascii="Times New Roman" w:hAnsi="Times New Roman" w:cs="Times New Roman"/>
                <w:kern w:val="0"/>
                <w:sz w:val="24"/>
                <w:szCs w:val="20"/>
              </w:rPr>
            </w:pPr>
            <w:r>
              <w:rPr>
                <w:rFonts w:hint="eastAsia" w:ascii="Times New Roman" w:hAnsi="Times New Roman" w:cs="Times New Roman"/>
                <w:kern w:val="0"/>
                <w:sz w:val="24"/>
                <w:szCs w:val="24"/>
              </w:rPr>
              <w:t>中等</w:t>
            </w:r>
          </w:p>
        </w:tc>
        <w:tc>
          <w:tcPr>
            <w:tcW w:w="2474" w:type="pct"/>
          </w:tcPr>
          <w:p w14:paraId="54C581AB">
            <w:pPr>
              <w:widowControl/>
              <w:autoSpaceDE w:val="0"/>
              <w:spacing w:line="360" w:lineRule="auto"/>
              <w:jc w:val="center"/>
              <w:rPr>
                <w:rFonts w:ascii="Times New Roman" w:hAnsi="Times New Roman" w:cs="Times New Roman"/>
                <w:kern w:val="0"/>
                <w:sz w:val="24"/>
                <w:szCs w:val="20"/>
              </w:rPr>
            </w:pPr>
            <w:r>
              <w:rPr>
                <w:rFonts w:hint="eastAsia" w:ascii="Times New Roman" w:hAnsi="Times New Roman" w:cs="Times New Roman"/>
                <w:kern w:val="0"/>
                <w:sz w:val="24"/>
                <w:szCs w:val="20"/>
              </w:rPr>
              <w:t>是</w:t>
            </w:r>
          </w:p>
        </w:tc>
      </w:tr>
      <w:tr w14:paraId="40985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25" w:type="pct"/>
            <w:vAlign w:val="center"/>
          </w:tcPr>
          <w:p w14:paraId="093FBE81">
            <w:pPr>
              <w:widowControl/>
              <w:autoSpaceDE w:val="0"/>
              <w:jc w:val="center"/>
              <w:rPr>
                <w:rFonts w:ascii="Times New Roman" w:hAnsi="Times New Roman" w:cs="Times New Roman"/>
                <w:kern w:val="0"/>
                <w:sz w:val="24"/>
                <w:szCs w:val="20"/>
              </w:rPr>
            </w:pPr>
            <w:r>
              <w:rPr>
                <w:rFonts w:hint="eastAsia" w:ascii="Times New Roman" w:hAnsi="Times New Roman" w:cs="Times New Roman"/>
                <w:kern w:val="0"/>
                <w:sz w:val="24"/>
                <w:szCs w:val="24"/>
              </w:rPr>
              <w:t>较大</w:t>
            </w:r>
          </w:p>
        </w:tc>
        <w:tc>
          <w:tcPr>
            <w:tcW w:w="2474" w:type="pct"/>
          </w:tcPr>
          <w:p w14:paraId="0F37868F">
            <w:pPr>
              <w:widowControl/>
              <w:autoSpaceDE w:val="0"/>
              <w:spacing w:line="360" w:lineRule="auto"/>
              <w:jc w:val="center"/>
              <w:rPr>
                <w:rFonts w:ascii="Times New Roman" w:hAnsi="Times New Roman" w:cs="Times New Roman"/>
                <w:kern w:val="0"/>
                <w:sz w:val="24"/>
                <w:szCs w:val="20"/>
              </w:rPr>
            </w:pPr>
            <w:r>
              <w:rPr>
                <w:rFonts w:hint="eastAsia" w:ascii="Times New Roman" w:hAnsi="Times New Roman" w:cs="Times New Roman"/>
                <w:kern w:val="0"/>
                <w:sz w:val="24"/>
                <w:szCs w:val="20"/>
              </w:rPr>
              <w:t>是</w:t>
            </w:r>
          </w:p>
        </w:tc>
      </w:tr>
      <w:tr w14:paraId="5FD89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525" w:type="pct"/>
            <w:vAlign w:val="center"/>
          </w:tcPr>
          <w:p w14:paraId="049AEB5A">
            <w:pPr>
              <w:widowControl/>
              <w:autoSpaceDE w:val="0"/>
              <w:jc w:val="center"/>
              <w:rPr>
                <w:rFonts w:ascii="Times New Roman" w:hAnsi="Times New Roman" w:cs="Times New Roman"/>
                <w:kern w:val="0"/>
                <w:sz w:val="24"/>
                <w:szCs w:val="20"/>
              </w:rPr>
            </w:pPr>
            <w:r>
              <w:rPr>
                <w:rFonts w:hint="eastAsia" w:ascii="Times New Roman" w:hAnsi="Times New Roman" w:cs="Times New Roman"/>
                <w:kern w:val="0"/>
                <w:sz w:val="24"/>
                <w:szCs w:val="24"/>
              </w:rPr>
              <w:t>极大</w:t>
            </w:r>
          </w:p>
        </w:tc>
        <w:tc>
          <w:tcPr>
            <w:tcW w:w="2474" w:type="pct"/>
          </w:tcPr>
          <w:p w14:paraId="2372A850">
            <w:pPr>
              <w:widowControl/>
              <w:autoSpaceDE w:val="0"/>
              <w:spacing w:line="360" w:lineRule="auto"/>
              <w:jc w:val="center"/>
              <w:rPr>
                <w:rFonts w:ascii="Times New Roman" w:hAnsi="Times New Roman" w:cs="Times New Roman"/>
                <w:kern w:val="0"/>
                <w:sz w:val="24"/>
                <w:szCs w:val="20"/>
              </w:rPr>
            </w:pPr>
            <w:r>
              <w:rPr>
                <w:rFonts w:hint="eastAsia" w:ascii="Times New Roman" w:hAnsi="Times New Roman" w:cs="Times New Roman"/>
                <w:kern w:val="0"/>
                <w:sz w:val="24"/>
                <w:szCs w:val="20"/>
              </w:rPr>
              <w:t>是</w:t>
            </w:r>
          </w:p>
        </w:tc>
      </w:tr>
    </w:tbl>
    <w:p w14:paraId="2E169A3C">
      <w:pPr>
        <w:widowControl/>
        <w:adjustRightInd w:val="0"/>
        <w:snapToGrid w:val="0"/>
        <w:spacing w:line="560" w:lineRule="exact"/>
        <w:ind w:firstLine="480" w:firstLineChars="200"/>
        <w:rPr>
          <w:rFonts w:ascii="Times New Roman" w:hAnsi="Times New Roman" w:cs="Times New Roman"/>
          <w:szCs w:val="30"/>
          <w:lang w:bidi="ar"/>
        </w:rPr>
      </w:pPr>
      <w:r>
        <w:rPr>
          <w:rFonts w:ascii="Times New Roman" w:hAnsi="Times New Roman" w:cs="Times New Roman"/>
          <w:sz w:val="24"/>
          <w:szCs w:val="24"/>
          <w:lang w:bidi="ar"/>
        </w:rPr>
        <w:t xml:space="preserve"> </w:t>
      </w:r>
      <w:r>
        <w:rPr>
          <w:rFonts w:hint="eastAsia" w:ascii="Times New Roman" w:hAnsi="Times New Roman" w:cs="Times New Roman"/>
          <w:sz w:val="24"/>
          <w:szCs w:val="24"/>
          <w:lang w:bidi="ar"/>
        </w:rPr>
        <w:t>注：表格中文字、数值仅供示例参考，公司应结合自身情况确定。</w:t>
      </w:r>
    </w:p>
    <w:p w14:paraId="6BCA8B52">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定量角度下，公司可考虑设定绝对货币阈值或相对阈值，例如与其主要财务报表的收入、成本、总资产、净资产、利润等项目相对应的金额的百分比，以便判断影响的重大程度。示例如下：</w:t>
      </w:r>
    </w:p>
    <w:p w14:paraId="57EA4553">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1</w:t>
      </w:r>
      <w:r>
        <w:rPr>
          <w:rFonts w:hint="eastAsia" w:ascii="Times New Roman" w:hAnsi="Times New Roman" w:eastAsia="黑体" w:cs="Times New Roman"/>
          <w:sz w:val="24"/>
          <w:szCs w:val="24"/>
          <w:lang w:bidi="ar"/>
        </w:rPr>
        <w:t>0：定量阈值判断示例</w:t>
      </w:r>
      <w:r>
        <w:rPr>
          <w:rFonts w:ascii="Times New Roman" w:hAnsi="Times New Roman" w:eastAsia="黑体" w:cs="Times New Roman"/>
          <w:sz w:val="24"/>
          <w:szCs w:val="24"/>
          <w:lang w:bidi="ar"/>
        </w:rPr>
        <w:t>1</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7"/>
        <w:gridCol w:w="3201"/>
        <w:gridCol w:w="3141"/>
      </w:tblGrid>
      <w:tr w14:paraId="3F7E5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pct"/>
            <w:shd w:val="clear" w:color="auto" w:fill="auto"/>
            <w:vAlign w:val="center"/>
          </w:tcPr>
          <w:p w14:paraId="7C15F4CE">
            <w:pPr>
              <w:widowControl/>
              <w:autoSpaceDE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项目</w:t>
            </w:r>
          </w:p>
        </w:tc>
        <w:tc>
          <w:tcPr>
            <w:tcW w:w="1878" w:type="pct"/>
            <w:shd w:val="clear" w:color="auto" w:fill="auto"/>
            <w:vAlign w:val="center"/>
          </w:tcPr>
          <w:p w14:paraId="513B7379">
            <w:pPr>
              <w:widowControl/>
              <w:autoSpaceDE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货币价值（万元）</w:t>
            </w:r>
          </w:p>
        </w:tc>
        <w:tc>
          <w:tcPr>
            <w:tcW w:w="1843" w:type="pct"/>
            <w:shd w:val="clear" w:color="auto" w:fill="auto"/>
            <w:vAlign w:val="center"/>
          </w:tcPr>
          <w:p w14:paraId="58496225">
            <w:pPr>
              <w:widowControl/>
              <w:autoSpaceDE w:val="0"/>
              <w:jc w:val="center"/>
              <w:rPr>
                <w:rFonts w:ascii="Times New Roman" w:hAnsi="Times New Roman" w:cs="Times New Roman"/>
                <w:b/>
                <w:bCs/>
                <w:kern w:val="0"/>
                <w:sz w:val="24"/>
                <w:szCs w:val="20"/>
              </w:rPr>
            </w:pPr>
            <w:r>
              <w:rPr>
                <w:rFonts w:hint="eastAsia" w:ascii="Times New Roman" w:hAnsi="Times New Roman" w:cs="Times New Roman"/>
                <w:b/>
                <w:bCs/>
                <w:kern w:val="0"/>
                <w:sz w:val="24"/>
                <w:szCs w:val="20"/>
              </w:rPr>
              <w:t>是否具有财务重要性</w:t>
            </w:r>
          </w:p>
          <w:p w14:paraId="613A4707">
            <w:pPr>
              <w:widowControl/>
              <w:autoSpaceDE w:val="0"/>
              <w:jc w:val="center"/>
              <w:rPr>
                <w:rFonts w:ascii="Times New Roman" w:hAnsi="Times New Roman" w:cs="Times New Roman"/>
                <w:b/>
                <w:bCs/>
                <w:kern w:val="0"/>
                <w:sz w:val="24"/>
                <w:szCs w:val="24"/>
              </w:rPr>
            </w:pPr>
            <w:r>
              <w:rPr>
                <w:rFonts w:hint="eastAsia" w:ascii="Times New Roman" w:hAnsi="Times New Roman" w:cs="Times New Roman"/>
                <w:kern w:val="0"/>
                <w:sz w:val="24"/>
                <w:szCs w:val="20"/>
              </w:rPr>
              <w:t>（假设阈值为“</w:t>
            </w:r>
            <w:r>
              <w:rPr>
                <w:rFonts w:ascii="Times New Roman" w:hAnsi="Times New Roman" w:cs="Times New Roman"/>
                <w:kern w:val="0"/>
                <w:sz w:val="24"/>
                <w:szCs w:val="20"/>
              </w:rPr>
              <w:t>500</w:t>
            </w:r>
            <w:r>
              <w:rPr>
                <w:rFonts w:hint="eastAsia" w:ascii="Times New Roman" w:hAnsi="Times New Roman" w:cs="Times New Roman"/>
                <w:kern w:val="0"/>
                <w:sz w:val="24"/>
                <w:szCs w:val="20"/>
              </w:rPr>
              <w:t>”）</w:t>
            </w:r>
          </w:p>
        </w:tc>
      </w:tr>
      <w:tr w14:paraId="1D386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pct"/>
            <w:vMerge w:val="restart"/>
            <w:vAlign w:val="center"/>
          </w:tcPr>
          <w:p w14:paraId="3403DACA">
            <w:pPr>
              <w:widowControl/>
              <w:autoSpaceDE w:val="0"/>
              <w:rPr>
                <w:rFonts w:ascii="Times New Roman" w:hAnsi="Times New Roman" w:cs="Times New Roman"/>
                <w:kern w:val="0"/>
                <w:sz w:val="24"/>
                <w:szCs w:val="24"/>
              </w:rPr>
            </w:pPr>
            <w:r>
              <w:rPr>
                <w:rFonts w:hint="eastAsia" w:ascii="Times New Roman" w:hAnsi="Times New Roman" w:cs="Times New Roman"/>
                <w:kern w:val="0"/>
                <w:sz w:val="24"/>
                <w:szCs w:val="24"/>
              </w:rPr>
              <w:t>可持续风险和机遇预期可能在收入、成本、净利润、总资产、净资产等方面产生的财务影响</w:t>
            </w:r>
          </w:p>
        </w:tc>
        <w:tc>
          <w:tcPr>
            <w:tcW w:w="1878" w:type="pct"/>
            <w:vAlign w:val="center"/>
          </w:tcPr>
          <w:p w14:paraId="2C5D1543">
            <w:pPr>
              <w:widowControl/>
              <w:autoSpaceDE w:val="0"/>
              <w:jc w:val="center"/>
              <w:rPr>
                <w:rFonts w:ascii="Times New Roman" w:hAnsi="Times New Roman" w:cs="Times New Roman"/>
                <w:kern w:val="0"/>
                <w:sz w:val="24"/>
                <w:szCs w:val="24"/>
              </w:rPr>
            </w:pPr>
            <w:r>
              <w:rPr>
                <w:rFonts w:ascii="Times New Roman" w:hAnsi="Times New Roman" w:cs="Times New Roman"/>
                <w:color w:val="000000"/>
                <w:kern w:val="0"/>
                <w:sz w:val="24"/>
                <w:szCs w:val="24"/>
              </w:rPr>
              <w:t>&lt;100</w:t>
            </w:r>
          </w:p>
        </w:tc>
        <w:tc>
          <w:tcPr>
            <w:tcW w:w="1843" w:type="pct"/>
            <w:vAlign w:val="center"/>
          </w:tcPr>
          <w:p w14:paraId="431BAF2A">
            <w:pPr>
              <w:widowControl/>
              <w:autoSpaceDE w:val="0"/>
              <w:spacing w:line="360" w:lineRule="auto"/>
              <w:jc w:val="center"/>
              <w:rPr>
                <w:rFonts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kern w:val="0"/>
                <w:sz w:val="24"/>
                <w:szCs w:val="20"/>
              </w:rPr>
              <w:t>否</w:t>
            </w:r>
          </w:p>
        </w:tc>
      </w:tr>
      <w:tr w14:paraId="05CFF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pct"/>
            <w:vMerge w:val="continue"/>
          </w:tcPr>
          <w:p w14:paraId="6BB1B318">
            <w:pPr>
              <w:widowControl/>
              <w:autoSpaceDE w:val="0"/>
              <w:jc w:val="center"/>
              <w:rPr>
                <w:rFonts w:ascii="Times New Roman" w:hAnsi="Times New Roman" w:cs="Times New Roman"/>
                <w:kern w:val="0"/>
                <w:sz w:val="24"/>
                <w:szCs w:val="24"/>
              </w:rPr>
            </w:pPr>
          </w:p>
        </w:tc>
        <w:tc>
          <w:tcPr>
            <w:tcW w:w="1878" w:type="pct"/>
            <w:vAlign w:val="center"/>
          </w:tcPr>
          <w:p w14:paraId="42747F36">
            <w:pPr>
              <w:widowControl/>
              <w:autoSpaceDE w:val="0"/>
              <w:jc w:val="center"/>
              <w:rPr>
                <w:rFonts w:ascii="Times New Roman" w:hAnsi="Times New Roman" w:cs="Times New Roman"/>
                <w:kern w:val="0"/>
                <w:sz w:val="24"/>
                <w:szCs w:val="24"/>
              </w:rPr>
            </w:pPr>
            <w:r>
              <w:rPr>
                <w:rFonts w:ascii="Times New Roman" w:hAnsi="Times New Roman" w:cs="Times New Roman"/>
                <w:kern w:val="0"/>
                <w:sz w:val="24"/>
                <w:szCs w:val="24"/>
              </w:rPr>
              <w:t>100</w:t>
            </w:r>
            <w:r>
              <w:rPr>
                <w:rFonts w:hint="eastAsia" w:ascii="Times New Roman" w:hAnsi="Times New Roman" w:cs="Times New Roman"/>
                <w:kern w:val="0"/>
                <w:sz w:val="24"/>
                <w:szCs w:val="24"/>
              </w:rPr>
              <w:t>～</w:t>
            </w:r>
            <w:r>
              <w:rPr>
                <w:rFonts w:ascii="Times New Roman" w:hAnsi="Times New Roman" w:cs="Times New Roman"/>
                <w:kern w:val="0"/>
                <w:sz w:val="24"/>
                <w:szCs w:val="24"/>
              </w:rPr>
              <w:t>500</w:t>
            </w:r>
          </w:p>
        </w:tc>
        <w:tc>
          <w:tcPr>
            <w:tcW w:w="1843" w:type="pct"/>
            <w:vAlign w:val="center"/>
          </w:tcPr>
          <w:p w14:paraId="7D22BC18">
            <w:pPr>
              <w:widowControl/>
              <w:autoSpaceDE w:val="0"/>
              <w:spacing w:line="360" w:lineRule="auto"/>
              <w:jc w:val="center"/>
              <w:rPr>
                <w:rFonts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kern w:val="0"/>
                <w:sz w:val="24"/>
                <w:szCs w:val="20"/>
              </w:rPr>
              <w:t>否</w:t>
            </w:r>
          </w:p>
        </w:tc>
      </w:tr>
      <w:tr w14:paraId="2ED3B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277" w:type="pct"/>
            <w:vMerge w:val="continue"/>
          </w:tcPr>
          <w:p w14:paraId="4D3BE7B5">
            <w:pPr>
              <w:widowControl/>
              <w:autoSpaceDE w:val="0"/>
              <w:jc w:val="center"/>
              <w:rPr>
                <w:rFonts w:ascii="Times New Roman" w:hAnsi="Times New Roman" w:cs="Times New Roman"/>
                <w:kern w:val="0"/>
                <w:sz w:val="24"/>
                <w:szCs w:val="24"/>
              </w:rPr>
            </w:pPr>
          </w:p>
        </w:tc>
        <w:tc>
          <w:tcPr>
            <w:tcW w:w="1878" w:type="pct"/>
            <w:vAlign w:val="center"/>
          </w:tcPr>
          <w:p w14:paraId="000D42E4">
            <w:pPr>
              <w:widowControl/>
              <w:autoSpaceDE w:val="0"/>
              <w:jc w:val="center"/>
              <w:rPr>
                <w:rFonts w:ascii="Times New Roman" w:hAnsi="Times New Roman" w:cs="Times New Roman"/>
                <w:kern w:val="0"/>
                <w:sz w:val="24"/>
                <w:szCs w:val="24"/>
              </w:rPr>
            </w:pPr>
            <w:r>
              <w:rPr>
                <w:rFonts w:ascii="Times New Roman" w:hAnsi="Times New Roman" w:cs="Times New Roman"/>
                <w:kern w:val="0"/>
                <w:sz w:val="24"/>
                <w:szCs w:val="24"/>
              </w:rPr>
              <w:t>500</w:t>
            </w:r>
            <w:r>
              <w:rPr>
                <w:rFonts w:hint="eastAsia" w:ascii="Times New Roman" w:hAnsi="Times New Roman" w:cs="Times New Roman"/>
                <w:kern w:val="0"/>
                <w:sz w:val="24"/>
                <w:szCs w:val="24"/>
              </w:rPr>
              <w:t>～</w:t>
            </w:r>
            <w:r>
              <w:rPr>
                <w:rFonts w:ascii="Times New Roman" w:hAnsi="Times New Roman" w:cs="Times New Roman"/>
                <w:kern w:val="0"/>
                <w:sz w:val="24"/>
                <w:szCs w:val="24"/>
              </w:rPr>
              <w:t>1000</w:t>
            </w:r>
          </w:p>
        </w:tc>
        <w:tc>
          <w:tcPr>
            <w:tcW w:w="1843" w:type="pct"/>
            <w:vAlign w:val="center"/>
          </w:tcPr>
          <w:p w14:paraId="33A87B52">
            <w:pPr>
              <w:widowControl/>
              <w:autoSpaceDE w:val="0"/>
              <w:spacing w:line="360" w:lineRule="auto"/>
              <w:jc w:val="center"/>
              <w:rPr>
                <w:rFonts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color w:val="000000" w:themeColor="text1"/>
                <w:kern w:val="0"/>
                <w:sz w:val="24"/>
                <w:szCs w:val="24"/>
                <w14:textFill>
                  <w14:solidFill>
                    <w14:schemeClr w14:val="tx1"/>
                  </w14:solidFill>
                </w14:textFill>
              </w:rPr>
              <w:t>是</w:t>
            </w:r>
          </w:p>
        </w:tc>
      </w:tr>
      <w:tr w14:paraId="56EB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77" w:type="pct"/>
            <w:vMerge w:val="continue"/>
          </w:tcPr>
          <w:p w14:paraId="5DD0431C">
            <w:pPr>
              <w:widowControl/>
              <w:autoSpaceDE w:val="0"/>
              <w:jc w:val="center"/>
              <w:rPr>
                <w:rFonts w:ascii="Times New Roman" w:hAnsi="Times New Roman" w:cs="Times New Roman"/>
                <w:kern w:val="0"/>
                <w:sz w:val="24"/>
                <w:szCs w:val="24"/>
              </w:rPr>
            </w:pPr>
          </w:p>
        </w:tc>
        <w:tc>
          <w:tcPr>
            <w:tcW w:w="1878" w:type="pct"/>
            <w:vAlign w:val="center"/>
          </w:tcPr>
          <w:p w14:paraId="27044139">
            <w:pPr>
              <w:widowControl/>
              <w:autoSpaceDE w:val="0"/>
              <w:jc w:val="center"/>
              <w:rPr>
                <w:rFonts w:ascii="Times New Roman" w:hAnsi="Times New Roman" w:cs="Times New Roman"/>
                <w:kern w:val="0"/>
                <w:sz w:val="24"/>
                <w:szCs w:val="24"/>
              </w:rPr>
            </w:pPr>
            <w:r>
              <w:rPr>
                <w:rFonts w:ascii="Times New Roman" w:hAnsi="Times New Roman" w:cs="Times New Roman"/>
                <w:color w:val="000000"/>
                <w:kern w:val="0"/>
                <w:sz w:val="24"/>
                <w:szCs w:val="24"/>
              </w:rPr>
              <w:t>1000</w:t>
            </w:r>
            <w:r>
              <w:rPr>
                <w:rFonts w:hint="eastAsia" w:ascii="Times New Roman" w:hAnsi="Times New Roman" w:cs="Times New Roman"/>
                <w:kern w:val="0"/>
                <w:sz w:val="24"/>
                <w:szCs w:val="24"/>
              </w:rPr>
              <w:t>～</w:t>
            </w:r>
            <w:r>
              <w:rPr>
                <w:rFonts w:ascii="Times New Roman" w:hAnsi="Times New Roman" w:cs="Times New Roman"/>
                <w:color w:val="000000"/>
                <w:kern w:val="0"/>
                <w:sz w:val="24"/>
                <w:szCs w:val="24"/>
              </w:rPr>
              <w:t>5000</w:t>
            </w:r>
          </w:p>
        </w:tc>
        <w:tc>
          <w:tcPr>
            <w:tcW w:w="1843" w:type="pct"/>
            <w:vAlign w:val="center"/>
          </w:tcPr>
          <w:p w14:paraId="00F68F41">
            <w:pPr>
              <w:widowControl/>
              <w:autoSpaceDE w:val="0"/>
              <w:spacing w:line="360" w:lineRule="auto"/>
              <w:jc w:val="center"/>
              <w:rPr>
                <w:rFonts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color w:val="000000" w:themeColor="text1"/>
                <w:kern w:val="0"/>
                <w:sz w:val="24"/>
                <w:szCs w:val="24"/>
                <w14:textFill>
                  <w14:solidFill>
                    <w14:schemeClr w14:val="tx1"/>
                  </w14:solidFill>
                </w14:textFill>
              </w:rPr>
              <w:t>是</w:t>
            </w:r>
          </w:p>
        </w:tc>
      </w:tr>
      <w:tr w14:paraId="7883C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7" w:type="pct"/>
            <w:vMerge w:val="continue"/>
          </w:tcPr>
          <w:p w14:paraId="1F37D2CB">
            <w:pPr>
              <w:widowControl/>
              <w:autoSpaceDE w:val="0"/>
              <w:jc w:val="center"/>
              <w:rPr>
                <w:rFonts w:ascii="Times New Roman" w:hAnsi="Times New Roman" w:cs="Times New Roman"/>
                <w:kern w:val="0"/>
                <w:sz w:val="24"/>
                <w:szCs w:val="24"/>
              </w:rPr>
            </w:pPr>
          </w:p>
        </w:tc>
        <w:tc>
          <w:tcPr>
            <w:tcW w:w="1878" w:type="pct"/>
            <w:vAlign w:val="center"/>
          </w:tcPr>
          <w:p w14:paraId="5EC5D458">
            <w:pPr>
              <w:widowControl/>
              <w:autoSpaceDE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w:t>
            </w:r>
            <w:r>
              <w:rPr>
                <w:rFonts w:ascii="Times New Roman" w:hAnsi="Times New Roman" w:cs="Times New Roman"/>
                <w:kern w:val="0"/>
                <w:sz w:val="24"/>
                <w:szCs w:val="24"/>
              </w:rPr>
              <w:t>5000</w:t>
            </w:r>
          </w:p>
        </w:tc>
        <w:tc>
          <w:tcPr>
            <w:tcW w:w="1843" w:type="pct"/>
            <w:vAlign w:val="center"/>
          </w:tcPr>
          <w:p w14:paraId="074FC091">
            <w:pPr>
              <w:widowControl/>
              <w:autoSpaceDE w:val="0"/>
              <w:spacing w:line="360" w:lineRule="auto"/>
              <w:jc w:val="center"/>
              <w:rPr>
                <w:rFonts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color w:val="000000" w:themeColor="text1"/>
                <w:kern w:val="0"/>
                <w:sz w:val="24"/>
                <w:szCs w:val="24"/>
                <w14:textFill>
                  <w14:solidFill>
                    <w14:schemeClr w14:val="tx1"/>
                  </w14:solidFill>
                </w14:textFill>
              </w:rPr>
              <w:t>是</w:t>
            </w:r>
          </w:p>
        </w:tc>
      </w:tr>
    </w:tbl>
    <w:p w14:paraId="6CABDB84">
      <w:pPr>
        <w:widowControl/>
        <w:adjustRightInd w:val="0"/>
        <w:snapToGrid w:val="0"/>
        <w:spacing w:line="560" w:lineRule="exact"/>
        <w:ind w:firstLine="480" w:firstLineChars="200"/>
        <w:rPr>
          <w:rFonts w:ascii="Times New Roman" w:hAnsi="Times New Roman" w:cs="Times New Roman"/>
          <w:sz w:val="24"/>
          <w:szCs w:val="24"/>
          <w:lang w:bidi="ar"/>
        </w:rPr>
      </w:pPr>
      <w:r>
        <w:rPr>
          <w:rFonts w:hint="eastAsia" w:ascii="Times New Roman" w:hAnsi="Times New Roman" w:cs="Times New Roman"/>
          <w:sz w:val="24"/>
          <w:szCs w:val="24"/>
          <w:lang w:bidi="ar"/>
        </w:rPr>
        <w:t>注：表格中文字、数值仅供示例参考，公司应结合自身情况确定。</w:t>
      </w:r>
    </w:p>
    <w:p w14:paraId="0240B405">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1</w:t>
      </w:r>
      <w:r>
        <w:rPr>
          <w:rFonts w:hint="eastAsia" w:ascii="Times New Roman" w:hAnsi="Times New Roman" w:eastAsia="黑体" w:cs="Times New Roman"/>
          <w:sz w:val="24"/>
          <w:szCs w:val="24"/>
          <w:lang w:bidi="ar"/>
        </w:rPr>
        <w:t>1：定量阈值判断示例</w:t>
      </w:r>
      <w:r>
        <w:rPr>
          <w:rFonts w:ascii="Times New Roman" w:hAnsi="Times New Roman" w:eastAsia="黑体" w:cs="Times New Roman"/>
          <w:sz w:val="24"/>
          <w:szCs w:val="24"/>
          <w:lang w:bidi="ar"/>
        </w:rPr>
        <w:t>2</w:t>
      </w:r>
    </w:p>
    <w:tbl>
      <w:tblPr>
        <w:tblStyle w:val="2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5"/>
        <w:gridCol w:w="3200"/>
        <w:gridCol w:w="3144"/>
      </w:tblGrid>
      <w:tr w14:paraId="508B8E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76" w:type="pct"/>
            <w:shd w:val="clear" w:color="auto" w:fill="auto"/>
          </w:tcPr>
          <w:p w14:paraId="7C60C6B9">
            <w:pPr>
              <w:widowControl/>
              <w:autoSpaceDE w:val="0"/>
              <w:spacing w:line="360" w:lineRule="auto"/>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项目</w:t>
            </w:r>
          </w:p>
        </w:tc>
        <w:tc>
          <w:tcPr>
            <w:tcW w:w="1878" w:type="pct"/>
            <w:shd w:val="clear" w:color="auto" w:fill="auto"/>
          </w:tcPr>
          <w:p w14:paraId="022729B3">
            <w:pPr>
              <w:widowControl/>
              <w:autoSpaceDE w:val="0"/>
              <w:spacing w:line="360" w:lineRule="auto"/>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百分比</w:t>
            </w:r>
          </w:p>
        </w:tc>
        <w:tc>
          <w:tcPr>
            <w:tcW w:w="1845" w:type="pct"/>
            <w:shd w:val="clear" w:color="auto" w:fill="auto"/>
            <w:vAlign w:val="center"/>
          </w:tcPr>
          <w:p w14:paraId="2F13AD4C">
            <w:pPr>
              <w:widowControl/>
              <w:autoSpaceDE w:val="0"/>
              <w:jc w:val="center"/>
              <w:rPr>
                <w:rFonts w:ascii="Times New Roman" w:hAnsi="Times New Roman" w:cs="Times New Roman"/>
                <w:b/>
                <w:bCs/>
                <w:kern w:val="0"/>
                <w:sz w:val="24"/>
                <w:szCs w:val="20"/>
              </w:rPr>
            </w:pPr>
            <w:r>
              <w:rPr>
                <w:rFonts w:hint="eastAsia" w:ascii="Times New Roman" w:hAnsi="Times New Roman" w:cs="Times New Roman"/>
                <w:b/>
                <w:bCs/>
                <w:kern w:val="0"/>
                <w:sz w:val="24"/>
                <w:szCs w:val="20"/>
              </w:rPr>
              <w:t>是否具有财务重要性</w:t>
            </w:r>
          </w:p>
          <w:p w14:paraId="7E5911D4">
            <w:pPr>
              <w:widowControl/>
              <w:autoSpaceDE w:val="0"/>
              <w:jc w:val="center"/>
              <w:rPr>
                <w:rFonts w:ascii="Times New Roman" w:hAnsi="Times New Roman" w:cs="Times New Roman"/>
                <w:b/>
                <w:bCs/>
                <w:kern w:val="0"/>
                <w:sz w:val="24"/>
                <w:szCs w:val="24"/>
              </w:rPr>
            </w:pPr>
            <w:r>
              <w:rPr>
                <w:rFonts w:hint="eastAsia" w:ascii="Times New Roman" w:hAnsi="Times New Roman" w:cs="Times New Roman"/>
                <w:kern w:val="0"/>
                <w:sz w:val="24"/>
                <w:szCs w:val="20"/>
              </w:rPr>
              <w:t>（假设阈值为“</w:t>
            </w:r>
            <w:r>
              <w:rPr>
                <w:rFonts w:hint="eastAsia" w:ascii="Times New Roman" w:hAnsi="Times New Roman" w:cs="Times New Roman"/>
                <w:color w:val="000000"/>
                <w:kern w:val="0"/>
                <w:sz w:val="24"/>
                <w:szCs w:val="24"/>
              </w:rPr>
              <w:t>净利润的</w:t>
            </w:r>
            <w:r>
              <w:rPr>
                <w:rFonts w:ascii="Times New Roman" w:hAnsi="Times New Roman" w:cs="Times New Roman"/>
                <w:color w:val="000000" w:themeColor="text1"/>
                <w:kern w:val="0"/>
                <w:sz w:val="24"/>
                <w:szCs w:val="24"/>
                <w:lang w:bidi="ar"/>
                <w14:textFill>
                  <w14:solidFill>
                    <w14:schemeClr w14:val="tx1"/>
                  </w14:solidFill>
                </w14:textFill>
              </w:rPr>
              <w:t>5%</w:t>
            </w:r>
            <w:r>
              <w:rPr>
                <w:rFonts w:hint="eastAsia" w:ascii="Times New Roman" w:hAnsi="Times New Roman" w:cs="Times New Roman"/>
                <w:kern w:val="0"/>
                <w:sz w:val="24"/>
                <w:szCs w:val="20"/>
              </w:rPr>
              <w:t>”）</w:t>
            </w:r>
          </w:p>
        </w:tc>
      </w:tr>
      <w:tr w14:paraId="2119E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76" w:type="pct"/>
            <w:vMerge w:val="restart"/>
            <w:vAlign w:val="center"/>
          </w:tcPr>
          <w:p w14:paraId="0AA4048A">
            <w:pPr>
              <w:widowControl/>
              <w:autoSpaceDE w:val="0"/>
              <w:jc w:val="left"/>
              <w:rPr>
                <w:rFonts w:ascii="Times New Roman" w:hAnsi="Times New Roman" w:cs="Times New Roman"/>
                <w:color w:val="000000" w:themeColor="text1"/>
                <w:kern w:val="0"/>
                <w:sz w:val="24"/>
                <w:szCs w:val="24"/>
                <w:lang w:bidi="ar"/>
                <w14:textFill>
                  <w14:solidFill>
                    <w14:schemeClr w14:val="tx1"/>
                  </w14:solidFill>
                </w14:textFill>
              </w:rPr>
            </w:pPr>
            <w:r>
              <w:rPr>
                <w:rFonts w:hint="eastAsia" w:ascii="Times New Roman" w:hAnsi="Times New Roman" w:cs="Times New Roman"/>
                <w:color w:val="000000" w:themeColor="text1"/>
                <w:kern w:val="0"/>
                <w:sz w:val="24"/>
                <w:szCs w:val="24"/>
                <w:lang w:bidi="ar"/>
                <w14:textFill>
                  <w14:solidFill>
                    <w14:schemeClr w14:val="tx1"/>
                  </w14:solidFill>
                </w14:textFill>
              </w:rPr>
              <w:t>可持续风险和机遇预期可能对净利润的影响</w:t>
            </w:r>
          </w:p>
        </w:tc>
        <w:tc>
          <w:tcPr>
            <w:tcW w:w="1878" w:type="pct"/>
          </w:tcPr>
          <w:p w14:paraId="356D228B">
            <w:pPr>
              <w:widowControl/>
              <w:autoSpaceDE w:val="0"/>
              <w:spacing w:line="360" w:lineRule="auto"/>
              <w:jc w:val="center"/>
              <w:rPr>
                <w:rFonts w:ascii="Times New Roman" w:hAnsi="Times New Roman" w:cs="Times New Roman"/>
                <w:color w:val="000000" w:themeColor="text1"/>
                <w:kern w:val="0"/>
                <w:sz w:val="24"/>
                <w:szCs w:val="24"/>
                <w:lang w:bidi="ar"/>
                <w14:textFill>
                  <w14:solidFill>
                    <w14:schemeClr w14:val="tx1"/>
                  </w14:solidFill>
                </w14:textFill>
              </w:rPr>
            </w:pPr>
            <w:r>
              <w:rPr>
                <w:rFonts w:ascii="Times New Roman" w:hAnsi="Times New Roman" w:cs="Times New Roman"/>
                <w:color w:val="000000"/>
                <w:kern w:val="0"/>
                <w:sz w:val="24"/>
                <w:szCs w:val="24"/>
              </w:rPr>
              <w:t>&lt;</w:t>
            </w:r>
            <w:r>
              <w:rPr>
                <w:rFonts w:hint="eastAsia" w:ascii="Times New Roman" w:hAnsi="Times New Roman" w:cs="Times New Roman"/>
                <w:color w:val="000000"/>
                <w:kern w:val="0"/>
                <w:sz w:val="24"/>
                <w:szCs w:val="24"/>
              </w:rPr>
              <w:t>净利润的</w:t>
            </w:r>
            <w:r>
              <w:rPr>
                <w:rFonts w:ascii="Times New Roman" w:hAnsi="Times New Roman" w:cs="Times New Roman"/>
                <w:color w:val="000000"/>
                <w:kern w:val="0"/>
                <w:sz w:val="24"/>
                <w:szCs w:val="24"/>
              </w:rPr>
              <w:t>1%</w:t>
            </w:r>
          </w:p>
        </w:tc>
        <w:tc>
          <w:tcPr>
            <w:tcW w:w="1845" w:type="pct"/>
            <w:vAlign w:val="center"/>
          </w:tcPr>
          <w:p w14:paraId="4ACD6A9B">
            <w:pPr>
              <w:widowControl/>
              <w:autoSpaceDE w:val="0"/>
              <w:spacing w:line="360" w:lineRule="auto"/>
              <w:jc w:val="center"/>
              <w:rPr>
                <w:rFonts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color w:val="000000" w:themeColor="text1"/>
                <w:kern w:val="0"/>
                <w:sz w:val="24"/>
                <w:szCs w:val="24"/>
                <w14:textFill>
                  <w14:solidFill>
                    <w14:schemeClr w14:val="tx1"/>
                  </w14:solidFill>
                </w14:textFill>
              </w:rPr>
              <w:t>否</w:t>
            </w:r>
          </w:p>
        </w:tc>
      </w:tr>
      <w:tr w14:paraId="0ECC4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76" w:type="pct"/>
            <w:vMerge w:val="continue"/>
          </w:tcPr>
          <w:p w14:paraId="35BEFBA8">
            <w:pPr>
              <w:widowControl/>
              <w:autoSpaceDE w:val="0"/>
              <w:spacing w:line="360" w:lineRule="auto"/>
              <w:jc w:val="left"/>
              <w:rPr>
                <w:rFonts w:ascii="Times New Roman" w:hAnsi="Times New Roman" w:cs="Times New Roman"/>
                <w:color w:val="000000" w:themeColor="text1"/>
                <w:kern w:val="0"/>
                <w:sz w:val="24"/>
                <w:szCs w:val="24"/>
                <w:lang w:bidi="ar"/>
                <w14:textFill>
                  <w14:solidFill>
                    <w14:schemeClr w14:val="tx1"/>
                  </w14:solidFill>
                </w14:textFill>
              </w:rPr>
            </w:pPr>
          </w:p>
        </w:tc>
        <w:tc>
          <w:tcPr>
            <w:tcW w:w="1878" w:type="pct"/>
          </w:tcPr>
          <w:p w14:paraId="6AA0002F">
            <w:pPr>
              <w:widowControl/>
              <w:autoSpaceDE w:val="0"/>
              <w:spacing w:line="360" w:lineRule="auto"/>
              <w:jc w:val="center"/>
              <w:rPr>
                <w:rFonts w:ascii="Times New Roman" w:hAnsi="Times New Roman" w:cs="Times New Roman"/>
                <w:color w:val="000000" w:themeColor="text1"/>
                <w:kern w:val="0"/>
                <w:sz w:val="24"/>
                <w:szCs w:val="24"/>
                <w:lang w:bidi="ar"/>
                <w14:textFill>
                  <w14:solidFill>
                    <w14:schemeClr w14:val="tx1"/>
                  </w14:solidFill>
                </w14:textFill>
              </w:rPr>
            </w:pPr>
            <w:r>
              <w:rPr>
                <w:rFonts w:hint="eastAsia" w:ascii="Times New Roman" w:hAnsi="Times New Roman" w:cs="Times New Roman"/>
                <w:color w:val="000000"/>
                <w:kern w:val="0"/>
                <w:sz w:val="24"/>
                <w:szCs w:val="24"/>
              </w:rPr>
              <w:t>净利润的</w:t>
            </w:r>
            <w:r>
              <w:rPr>
                <w:rFonts w:ascii="Times New Roman" w:hAnsi="Times New Roman" w:cs="Times New Roman"/>
                <w:color w:val="000000" w:themeColor="text1"/>
                <w:kern w:val="0"/>
                <w:sz w:val="24"/>
                <w:szCs w:val="24"/>
                <w:lang w:bidi="ar"/>
                <w14:textFill>
                  <w14:solidFill>
                    <w14:schemeClr w14:val="tx1"/>
                  </w14:solidFill>
                </w14:textFill>
              </w:rPr>
              <w:t>1%-5%</w:t>
            </w:r>
          </w:p>
        </w:tc>
        <w:tc>
          <w:tcPr>
            <w:tcW w:w="1845" w:type="pct"/>
            <w:vAlign w:val="center"/>
          </w:tcPr>
          <w:p w14:paraId="3D463B18">
            <w:pPr>
              <w:widowControl/>
              <w:autoSpaceDE w:val="0"/>
              <w:spacing w:line="360" w:lineRule="auto"/>
              <w:jc w:val="center"/>
              <w:rPr>
                <w:rFonts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color w:val="000000" w:themeColor="text1"/>
                <w:kern w:val="0"/>
                <w:sz w:val="24"/>
                <w:szCs w:val="24"/>
                <w14:textFill>
                  <w14:solidFill>
                    <w14:schemeClr w14:val="tx1"/>
                  </w14:solidFill>
                </w14:textFill>
              </w:rPr>
              <w:t>否</w:t>
            </w:r>
          </w:p>
        </w:tc>
      </w:tr>
      <w:tr w14:paraId="79BDC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276" w:type="pct"/>
            <w:vMerge w:val="continue"/>
          </w:tcPr>
          <w:p w14:paraId="1A70FAEC">
            <w:pPr>
              <w:widowControl/>
              <w:autoSpaceDE w:val="0"/>
              <w:spacing w:line="360" w:lineRule="auto"/>
              <w:jc w:val="left"/>
              <w:rPr>
                <w:rFonts w:ascii="Times New Roman" w:hAnsi="Times New Roman" w:cs="Times New Roman"/>
                <w:color w:val="000000" w:themeColor="text1"/>
                <w:kern w:val="0"/>
                <w:sz w:val="24"/>
                <w:szCs w:val="24"/>
                <w:lang w:bidi="ar"/>
                <w14:textFill>
                  <w14:solidFill>
                    <w14:schemeClr w14:val="tx1"/>
                  </w14:solidFill>
                </w14:textFill>
              </w:rPr>
            </w:pPr>
          </w:p>
        </w:tc>
        <w:tc>
          <w:tcPr>
            <w:tcW w:w="1878" w:type="pct"/>
          </w:tcPr>
          <w:p w14:paraId="35A27DCA">
            <w:pPr>
              <w:widowControl/>
              <w:autoSpaceDE w:val="0"/>
              <w:spacing w:line="360" w:lineRule="auto"/>
              <w:jc w:val="center"/>
              <w:rPr>
                <w:rFonts w:ascii="Times New Roman" w:hAnsi="Times New Roman" w:cs="Times New Roman"/>
                <w:color w:val="000000" w:themeColor="text1"/>
                <w:kern w:val="0"/>
                <w:sz w:val="24"/>
                <w:szCs w:val="24"/>
                <w:lang w:bidi="ar"/>
                <w14:textFill>
                  <w14:solidFill>
                    <w14:schemeClr w14:val="tx1"/>
                  </w14:solidFill>
                </w14:textFill>
              </w:rPr>
            </w:pPr>
            <w:r>
              <w:rPr>
                <w:rFonts w:hint="eastAsia" w:ascii="Times New Roman" w:hAnsi="Times New Roman" w:cs="Times New Roman"/>
                <w:color w:val="000000"/>
                <w:kern w:val="0"/>
                <w:sz w:val="24"/>
                <w:szCs w:val="24"/>
              </w:rPr>
              <w:t>净利润的</w:t>
            </w:r>
            <w:r>
              <w:rPr>
                <w:rFonts w:ascii="Times New Roman" w:hAnsi="Times New Roman" w:cs="Times New Roman"/>
                <w:color w:val="000000" w:themeColor="text1"/>
                <w:kern w:val="0"/>
                <w:sz w:val="24"/>
                <w:szCs w:val="24"/>
                <w:lang w:bidi="ar"/>
                <w14:textFill>
                  <w14:solidFill>
                    <w14:schemeClr w14:val="tx1"/>
                  </w14:solidFill>
                </w14:textFill>
              </w:rPr>
              <w:t>5%-10%</w:t>
            </w:r>
          </w:p>
        </w:tc>
        <w:tc>
          <w:tcPr>
            <w:tcW w:w="1845" w:type="pct"/>
            <w:vAlign w:val="center"/>
          </w:tcPr>
          <w:p w14:paraId="69CC81F3">
            <w:pPr>
              <w:widowControl/>
              <w:autoSpaceDE w:val="0"/>
              <w:spacing w:line="360" w:lineRule="auto"/>
              <w:jc w:val="center"/>
              <w:rPr>
                <w:rFonts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color w:val="000000" w:themeColor="text1"/>
                <w:kern w:val="0"/>
                <w:sz w:val="24"/>
                <w:szCs w:val="24"/>
                <w14:textFill>
                  <w14:solidFill>
                    <w14:schemeClr w14:val="tx1"/>
                  </w14:solidFill>
                </w14:textFill>
              </w:rPr>
              <w:t>是</w:t>
            </w:r>
          </w:p>
        </w:tc>
      </w:tr>
      <w:tr w14:paraId="1C3EA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76" w:type="pct"/>
            <w:vMerge w:val="continue"/>
          </w:tcPr>
          <w:p w14:paraId="578655D9">
            <w:pPr>
              <w:widowControl/>
              <w:autoSpaceDE w:val="0"/>
              <w:spacing w:line="360" w:lineRule="auto"/>
              <w:jc w:val="left"/>
              <w:rPr>
                <w:rFonts w:ascii="Times New Roman" w:hAnsi="Times New Roman" w:cs="Times New Roman"/>
                <w:color w:val="000000" w:themeColor="text1"/>
                <w:kern w:val="0"/>
                <w:sz w:val="24"/>
                <w:szCs w:val="24"/>
                <w:lang w:bidi="ar"/>
                <w14:textFill>
                  <w14:solidFill>
                    <w14:schemeClr w14:val="tx1"/>
                  </w14:solidFill>
                </w14:textFill>
              </w:rPr>
            </w:pPr>
          </w:p>
        </w:tc>
        <w:tc>
          <w:tcPr>
            <w:tcW w:w="1878" w:type="pct"/>
          </w:tcPr>
          <w:p w14:paraId="344E3140">
            <w:pPr>
              <w:widowControl/>
              <w:autoSpaceDE w:val="0"/>
              <w:spacing w:line="360" w:lineRule="auto"/>
              <w:jc w:val="center"/>
              <w:rPr>
                <w:rFonts w:ascii="Times New Roman" w:hAnsi="Times New Roman" w:cs="Times New Roman"/>
                <w:color w:val="000000" w:themeColor="text1"/>
                <w:kern w:val="0"/>
                <w:sz w:val="24"/>
                <w:szCs w:val="24"/>
                <w:lang w:bidi="ar"/>
                <w14:textFill>
                  <w14:solidFill>
                    <w14:schemeClr w14:val="tx1"/>
                  </w14:solidFill>
                </w14:textFill>
              </w:rPr>
            </w:pPr>
            <w:r>
              <w:rPr>
                <w:rFonts w:hint="eastAsia" w:ascii="Times New Roman" w:hAnsi="Times New Roman" w:cs="Times New Roman"/>
                <w:color w:val="000000"/>
                <w:kern w:val="0"/>
                <w:sz w:val="24"/>
                <w:szCs w:val="24"/>
              </w:rPr>
              <w:t>净利润的</w:t>
            </w:r>
            <w:r>
              <w:rPr>
                <w:rFonts w:ascii="Times New Roman" w:hAnsi="Times New Roman" w:cs="Times New Roman"/>
                <w:color w:val="000000" w:themeColor="text1"/>
                <w:kern w:val="0"/>
                <w:sz w:val="24"/>
                <w:szCs w:val="24"/>
                <w:lang w:bidi="ar"/>
                <w14:textFill>
                  <w14:solidFill>
                    <w14:schemeClr w14:val="tx1"/>
                  </w14:solidFill>
                </w14:textFill>
              </w:rPr>
              <w:t>10%-15%</w:t>
            </w:r>
          </w:p>
        </w:tc>
        <w:tc>
          <w:tcPr>
            <w:tcW w:w="1845" w:type="pct"/>
            <w:vAlign w:val="center"/>
          </w:tcPr>
          <w:p w14:paraId="6F6C87EC">
            <w:pPr>
              <w:widowControl/>
              <w:autoSpaceDE w:val="0"/>
              <w:spacing w:line="360" w:lineRule="auto"/>
              <w:jc w:val="center"/>
              <w:rPr>
                <w:rFonts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color w:val="000000" w:themeColor="text1"/>
                <w:kern w:val="0"/>
                <w:sz w:val="24"/>
                <w:szCs w:val="24"/>
                <w14:textFill>
                  <w14:solidFill>
                    <w14:schemeClr w14:val="tx1"/>
                  </w14:solidFill>
                </w14:textFill>
              </w:rPr>
              <w:t>是</w:t>
            </w:r>
          </w:p>
        </w:tc>
      </w:tr>
      <w:tr w14:paraId="4E751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6" w:type="pct"/>
            <w:vMerge w:val="continue"/>
          </w:tcPr>
          <w:p w14:paraId="15184602">
            <w:pPr>
              <w:widowControl/>
              <w:autoSpaceDE w:val="0"/>
              <w:spacing w:line="360" w:lineRule="auto"/>
              <w:jc w:val="left"/>
              <w:rPr>
                <w:rFonts w:ascii="Times New Roman" w:hAnsi="Times New Roman" w:cs="Times New Roman"/>
                <w:color w:val="000000" w:themeColor="text1"/>
                <w:kern w:val="0"/>
                <w:sz w:val="24"/>
                <w:szCs w:val="24"/>
                <w:lang w:bidi="ar"/>
                <w14:textFill>
                  <w14:solidFill>
                    <w14:schemeClr w14:val="tx1"/>
                  </w14:solidFill>
                </w14:textFill>
              </w:rPr>
            </w:pPr>
          </w:p>
        </w:tc>
        <w:tc>
          <w:tcPr>
            <w:tcW w:w="1878" w:type="pct"/>
            <w:shd w:val="clear" w:color="auto" w:fill="auto"/>
          </w:tcPr>
          <w:p w14:paraId="4DA774B1">
            <w:pPr>
              <w:widowControl/>
              <w:autoSpaceDE w:val="0"/>
              <w:spacing w:line="360" w:lineRule="auto"/>
              <w:jc w:val="center"/>
              <w:rPr>
                <w:rFonts w:ascii="Times New Roman" w:hAnsi="Times New Roman" w:cs="Times New Roman"/>
                <w:color w:val="000000" w:themeColor="text1"/>
                <w:kern w:val="0"/>
                <w:sz w:val="24"/>
                <w:szCs w:val="24"/>
                <w:lang w:bidi="ar"/>
                <w14:textFill>
                  <w14:solidFill>
                    <w14:schemeClr w14:val="tx1"/>
                  </w14:solidFill>
                </w14:textFill>
              </w:rPr>
            </w:pPr>
            <w:r>
              <w:rPr>
                <w:rFonts w:ascii="Times New Roman" w:hAnsi="Times New Roman" w:cs="Times New Roman"/>
                <w:color w:val="000000"/>
                <w:kern w:val="0"/>
                <w:sz w:val="24"/>
                <w:szCs w:val="24"/>
              </w:rPr>
              <w:t>&gt;</w:t>
            </w:r>
            <w:r>
              <w:rPr>
                <w:rFonts w:hint="eastAsia" w:ascii="Times New Roman" w:hAnsi="Times New Roman" w:cs="Times New Roman"/>
                <w:color w:val="000000"/>
                <w:kern w:val="0"/>
                <w:sz w:val="24"/>
                <w:szCs w:val="24"/>
              </w:rPr>
              <w:t>净利润的</w:t>
            </w:r>
            <w:r>
              <w:rPr>
                <w:rFonts w:ascii="Times New Roman" w:hAnsi="Times New Roman" w:cs="Times New Roman"/>
                <w:color w:val="000000"/>
                <w:kern w:val="0"/>
                <w:sz w:val="24"/>
                <w:szCs w:val="24"/>
              </w:rPr>
              <w:t>15%</w:t>
            </w:r>
          </w:p>
        </w:tc>
        <w:tc>
          <w:tcPr>
            <w:tcW w:w="1845" w:type="pct"/>
            <w:vAlign w:val="center"/>
          </w:tcPr>
          <w:p w14:paraId="60B05322">
            <w:pPr>
              <w:widowControl/>
              <w:autoSpaceDE w:val="0"/>
              <w:spacing w:line="360" w:lineRule="auto"/>
              <w:jc w:val="center"/>
              <w:rPr>
                <w:rFonts w:ascii="Times New Roman" w:hAnsi="Times New Roman" w:cs="Times New Roman"/>
                <w:color w:val="000000" w:themeColor="text1"/>
                <w:kern w:val="0"/>
                <w:sz w:val="24"/>
                <w:szCs w:val="24"/>
                <w14:textFill>
                  <w14:solidFill>
                    <w14:schemeClr w14:val="tx1"/>
                  </w14:solidFill>
                </w14:textFill>
              </w:rPr>
            </w:pPr>
            <w:r>
              <w:rPr>
                <w:rFonts w:hint="eastAsia" w:ascii="Times New Roman" w:hAnsi="Times New Roman" w:cs="Times New Roman"/>
                <w:color w:val="000000" w:themeColor="text1"/>
                <w:kern w:val="0"/>
                <w:sz w:val="24"/>
                <w:szCs w:val="24"/>
                <w14:textFill>
                  <w14:solidFill>
                    <w14:schemeClr w14:val="tx1"/>
                  </w14:solidFill>
                </w14:textFill>
              </w:rPr>
              <w:t>是</w:t>
            </w:r>
          </w:p>
        </w:tc>
      </w:tr>
    </w:tbl>
    <w:p w14:paraId="573C897B">
      <w:pPr>
        <w:widowControl/>
        <w:adjustRightInd w:val="0"/>
        <w:snapToGrid w:val="0"/>
        <w:spacing w:line="560" w:lineRule="exact"/>
        <w:ind w:firstLine="480" w:firstLineChars="200"/>
        <w:rPr>
          <w:rFonts w:ascii="Times New Roman" w:hAnsi="Times New Roman" w:cs="Times New Roman"/>
          <w:szCs w:val="30"/>
          <w:lang w:bidi="ar"/>
        </w:rPr>
      </w:pPr>
      <w:r>
        <w:rPr>
          <w:rFonts w:ascii="Times New Roman" w:hAnsi="Times New Roman" w:cs="Times New Roman"/>
          <w:sz w:val="24"/>
          <w:szCs w:val="24"/>
          <w:lang w:bidi="ar"/>
        </w:rPr>
        <w:t xml:space="preserve"> </w:t>
      </w:r>
      <w:r>
        <w:rPr>
          <w:rFonts w:hint="eastAsia" w:ascii="Times New Roman" w:hAnsi="Times New Roman" w:cs="Times New Roman"/>
          <w:sz w:val="24"/>
          <w:szCs w:val="24"/>
          <w:lang w:bidi="ar"/>
        </w:rPr>
        <w:t>注：表格中文字、数值仅供示例参考，公司应结合自身情况确定。</w:t>
      </w:r>
    </w:p>
    <w:p w14:paraId="0336FD2D">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在合理预期下，某项可持续风险和机遇信息的忽略、错报或模糊处理会影响信息使用者据此作出决策的，该信息具有重要性。在实践中，用于评估财务报表编制中项目重要性的类似方法可以作为财务重要性评估阈值的参考。</w:t>
      </w:r>
    </w:p>
    <w:p w14:paraId="2A72A540">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此外，公司也可以与公司股东、投资者和债权人等利益相关方进行沟通，以确定阈值设置的合理性。</w:t>
      </w:r>
    </w:p>
    <w:p w14:paraId="289BF73A">
      <w:pPr>
        <w:widowControl/>
        <w:adjustRightInd w:val="0"/>
        <w:snapToGrid w:val="0"/>
        <w:spacing w:line="560" w:lineRule="exact"/>
        <w:ind w:firstLine="602" w:firstLineChars="200"/>
        <w:jc w:val="left"/>
        <w:rPr>
          <w:rFonts w:ascii="Times New Roman" w:hAnsi="Times New Roman" w:cs="Times New Roman"/>
          <w:b/>
          <w:szCs w:val="30"/>
          <w:lang w:bidi="ar"/>
        </w:rPr>
      </w:pPr>
      <w:r>
        <w:rPr>
          <w:rFonts w:hint="eastAsia" w:ascii="Times New Roman" w:hAnsi="Times New Roman" w:cs="Times New Roman"/>
          <w:b/>
          <w:bCs/>
          <w:szCs w:val="30"/>
          <w:lang w:bidi="ar"/>
        </w:rPr>
        <w:t>（4）</w:t>
      </w:r>
      <w:r>
        <w:rPr>
          <w:rFonts w:hint="eastAsia" w:ascii="Times New Roman" w:hAnsi="Times New Roman" w:cs="Times New Roman"/>
          <w:b/>
          <w:szCs w:val="30"/>
          <w:lang w:bidi="ar"/>
        </w:rPr>
        <w:t>形成财务重要性评估结论</w:t>
      </w:r>
    </w:p>
    <w:p w14:paraId="64AD3171">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iCs/>
          <w:kern w:val="0"/>
          <w:szCs w:val="30"/>
        </w:rPr>
        <w:t>基于利益相关方调研或专家评分结果等方式，公司可以得出财务重要性评估的量化分析结果。</w:t>
      </w:r>
      <w:r>
        <w:rPr>
          <w:rFonts w:hint="eastAsia" w:ascii="Times New Roman" w:hAnsi="Times New Roman" w:cs="Times New Roman"/>
          <w:szCs w:val="30"/>
          <w:lang w:bidi="ar"/>
        </w:rPr>
        <w:t>就特定议题形成的财务重要性评估结果与设置的重要性阈值进行比较，确定该议题是否具有财务重要性。</w:t>
      </w:r>
    </w:p>
    <w:p w14:paraId="7E3C4E1E">
      <w:pPr>
        <w:widowControl/>
        <w:adjustRightInd w:val="0"/>
        <w:snapToGrid w:val="0"/>
        <w:spacing w:line="560" w:lineRule="exact"/>
        <w:ind w:firstLine="602" w:firstLineChars="200"/>
        <w:jc w:val="left"/>
        <w:rPr>
          <w:rFonts w:ascii="Times New Roman" w:hAnsi="Times New Roman" w:cs="Times New Roman"/>
          <w:b/>
          <w:bCs/>
          <w:szCs w:val="30"/>
          <w:lang w:bidi="ar"/>
        </w:rPr>
      </w:pPr>
      <w:r>
        <w:rPr>
          <w:rFonts w:ascii="Times New Roman" w:hAnsi="Times New Roman" w:cs="Times New Roman"/>
          <w:b/>
          <w:bCs/>
          <w:szCs w:val="30"/>
          <w:lang w:bidi="ar"/>
        </w:rPr>
        <w:t>3</w:t>
      </w:r>
      <w:r>
        <w:rPr>
          <w:rFonts w:hint="eastAsia" w:ascii="Times New Roman" w:hAnsi="Times New Roman" w:cs="Times New Roman"/>
          <w:b/>
          <w:bCs/>
          <w:szCs w:val="30"/>
          <w:lang w:bidi="ar"/>
        </w:rPr>
        <w:t>、整合影响与财务重要性结果</w:t>
      </w:r>
    </w:p>
    <w:p w14:paraId="4B675EAC">
      <w:pPr>
        <w:widowControl/>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rPr>
        <w:drawing>
          <wp:anchor distT="0" distB="0" distL="114300" distR="114300" simplePos="0" relativeHeight="251660288" behindDoc="0" locked="0" layoutInCell="1" allowOverlap="1">
            <wp:simplePos x="0" y="0"/>
            <wp:positionH relativeFrom="margin">
              <wp:posOffset>1095375</wp:posOffset>
            </wp:positionH>
            <wp:positionV relativeFrom="paragraph">
              <wp:posOffset>1422400</wp:posOffset>
            </wp:positionV>
            <wp:extent cx="3390900" cy="3154680"/>
            <wp:effectExtent l="0" t="0" r="0" b="7620"/>
            <wp:wrapTopAndBottom/>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3390900" cy="3154680"/>
                    </a:xfrm>
                    <a:prstGeom prst="rect">
                      <a:avLst/>
                    </a:prstGeom>
                    <a:noFill/>
                  </pic:spPr>
                </pic:pic>
              </a:graphicData>
            </a:graphic>
          </wp:anchor>
        </w:drawing>
      </w:r>
      <w:r>
        <w:rPr>
          <w:rFonts w:hint="eastAsia" w:ascii="Times New Roman" w:hAnsi="Times New Roman" w:cs="Times New Roman"/>
          <w:szCs w:val="30"/>
          <w:lang w:bidi="ar"/>
        </w:rPr>
        <w:t>在评估了各议题的影响、风险与机遇后，公司需要对结果进行汇总分析。公司可根据识别出各议题是否具备“重要性”，以及具体的“财务重要性”或“影响重要性”评分，用类似图示法予以体现。</w:t>
      </w:r>
      <w:r>
        <w:rPr>
          <w:rFonts w:ascii="Times New Roman" w:hAnsi="Times New Roman" w:cs="Times New Roman"/>
          <w:szCs w:val="30"/>
          <w:lang w:bidi="ar"/>
        </w:rPr>
        <w:t xml:space="preserve"> </w:t>
      </w:r>
    </w:p>
    <w:p w14:paraId="2D834461">
      <w:pPr>
        <w:adjustRightInd w:val="0"/>
        <w:snapToGrid w:val="0"/>
        <w:rPr>
          <w:rFonts w:ascii="Times New Roman" w:hAnsi="Times New Roman" w:eastAsia="宋体" w:cs="Times New Roman"/>
          <w:sz w:val="21"/>
          <w:szCs w:val="24"/>
        </w:rPr>
      </w:pPr>
      <w:bookmarkStart w:id="204" w:name="_Toc30790"/>
      <w:bookmarkStart w:id="205" w:name="_Toc26312"/>
      <w:bookmarkStart w:id="206" w:name="_Toc32013"/>
      <w:bookmarkStart w:id="207" w:name="_Toc3359"/>
      <w:bookmarkStart w:id="208" w:name="_Toc9593"/>
      <w:bookmarkStart w:id="209" w:name="_Toc11757"/>
      <w:bookmarkStart w:id="210" w:name="_Toc5714"/>
      <w:bookmarkStart w:id="211" w:name="_Toc19350"/>
    </w:p>
    <w:p w14:paraId="7E0094B5">
      <w:pPr>
        <w:widowControl/>
        <w:adjustRightInd w:val="0"/>
        <w:snapToGrid w:val="0"/>
        <w:spacing w:line="560" w:lineRule="exact"/>
        <w:ind w:firstLine="602" w:firstLineChars="200"/>
        <w:jc w:val="left"/>
        <w:outlineLvl w:val="2"/>
        <w:rPr>
          <w:rFonts w:ascii="Times New Roman" w:hAnsi="Times New Roman" w:cs="Times New Roman"/>
          <w:b/>
          <w:bCs/>
          <w:kern w:val="0"/>
          <w:szCs w:val="30"/>
        </w:rPr>
      </w:pPr>
      <w:bookmarkStart w:id="212" w:name="_Toc181730954"/>
      <w:bookmarkStart w:id="213" w:name="_Toc180165219"/>
      <w:bookmarkStart w:id="214" w:name="_Toc31961"/>
      <w:bookmarkStart w:id="215" w:name="_Toc1131"/>
      <w:bookmarkStart w:id="216" w:name="_Toc4454"/>
      <w:bookmarkStart w:id="217" w:name="_Toc11411"/>
      <w:bookmarkStart w:id="218" w:name="_Toc187328625"/>
      <w:r>
        <w:rPr>
          <w:rFonts w:hint="eastAsia" w:ascii="Times New Roman" w:hAnsi="Times New Roman" w:cs="Times New Roman"/>
          <w:b/>
          <w:bCs/>
          <w:kern w:val="0"/>
          <w:szCs w:val="30"/>
        </w:rPr>
        <w:t>步骤四：议题</w:t>
      </w:r>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r>
        <w:rPr>
          <w:rFonts w:hint="eastAsia" w:ascii="Times New Roman" w:hAnsi="Times New Roman" w:cs="Times New Roman"/>
          <w:b/>
          <w:bCs/>
          <w:kern w:val="0"/>
          <w:szCs w:val="30"/>
        </w:rPr>
        <w:t>重要性信息披露</w:t>
      </w:r>
      <w:bookmarkEnd w:id="218"/>
    </w:p>
    <w:p w14:paraId="784A8812">
      <w:pPr>
        <w:widowControl/>
        <w:adjustRightInd w:val="0"/>
        <w:snapToGrid w:val="0"/>
        <w:spacing w:line="560" w:lineRule="exact"/>
        <w:ind w:firstLine="600" w:firstLineChars="200"/>
        <w:jc w:val="left"/>
        <w:rPr>
          <w:rFonts w:ascii="Times New Roman" w:hAnsi="Times New Roman" w:cs="Times New Roman"/>
          <w:szCs w:val="30"/>
          <w:lang w:bidi="ar"/>
        </w:rPr>
      </w:pPr>
      <w:bookmarkStart w:id="219" w:name="_Toc12409"/>
      <w:bookmarkStart w:id="220" w:name="_Toc181730955"/>
      <w:r>
        <w:rPr>
          <w:rFonts w:hint="eastAsia" w:ascii="Times New Roman" w:hAnsi="Times New Roman" w:cs="Times New Roman"/>
          <w:szCs w:val="30"/>
          <w:lang w:bidi="ar"/>
        </w:rPr>
        <w:t>在完成重要性评估流程后，公司应当披露议题重要性的分析过程及其结果。</w:t>
      </w:r>
      <w:bookmarkEnd w:id="219"/>
      <w:bookmarkEnd w:id="220"/>
    </w:p>
    <w:p w14:paraId="13135453">
      <w:pPr>
        <w:widowControl/>
        <w:jc w:val="left"/>
        <w:rPr>
          <w:rFonts w:ascii="Times New Roman" w:hAnsi="Times New Roman" w:eastAsia="黑体" w:cs="Times New Roman"/>
          <w:b/>
          <w:bCs/>
          <w:szCs w:val="30"/>
        </w:rPr>
      </w:pPr>
      <w:bookmarkStart w:id="221" w:name="_Toc180164953"/>
      <w:r>
        <w:rPr>
          <w:rFonts w:ascii="Times New Roman" w:hAnsi="Times New Roman" w:eastAsia="黑体" w:cs="Times New Roman"/>
          <w:b/>
          <w:bCs/>
          <w:szCs w:val="30"/>
        </w:rPr>
        <w:br w:type="page"/>
      </w:r>
    </w:p>
    <w:p w14:paraId="0DEBB168">
      <w:pPr>
        <w:widowControl/>
        <w:adjustRightInd w:val="0"/>
        <w:snapToGrid w:val="0"/>
        <w:spacing w:line="560" w:lineRule="exact"/>
        <w:jc w:val="center"/>
        <w:outlineLvl w:val="0"/>
        <w:rPr>
          <w:rFonts w:ascii="Times New Roman" w:hAnsi="Times New Roman" w:eastAsia="黑体" w:cs="Times New Roman"/>
          <w:b/>
          <w:bCs/>
          <w:szCs w:val="30"/>
        </w:rPr>
      </w:pPr>
      <w:bookmarkStart w:id="222" w:name="_Toc181730956"/>
      <w:bookmarkStart w:id="223" w:name="_Toc20346"/>
      <w:bookmarkStart w:id="224" w:name="_Toc9178"/>
      <w:bookmarkStart w:id="225" w:name="_Toc31723"/>
      <w:bookmarkStart w:id="226" w:name="_Toc11847"/>
      <w:bookmarkStart w:id="227" w:name="_Toc187328626"/>
      <w:r>
        <w:rPr>
          <w:rFonts w:hint="eastAsia" w:ascii="Times New Roman" w:hAnsi="Times New Roman" w:eastAsia="黑体" w:cs="Times New Roman"/>
          <w:b/>
          <w:bCs/>
          <w:szCs w:val="30"/>
        </w:rPr>
        <w:t>第三章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治理</w:t>
      </w:r>
      <w:bookmarkEnd w:id="221"/>
      <w:bookmarkEnd w:id="222"/>
      <w:bookmarkEnd w:id="223"/>
      <w:bookmarkEnd w:id="224"/>
      <w:bookmarkEnd w:id="225"/>
      <w:bookmarkEnd w:id="226"/>
      <w:bookmarkEnd w:id="227"/>
    </w:p>
    <w:p w14:paraId="25B48E5C">
      <w:pPr>
        <w:widowControl/>
        <w:adjustRightInd w:val="0"/>
        <w:snapToGrid w:val="0"/>
        <w:spacing w:line="560" w:lineRule="exact"/>
        <w:ind w:left="600"/>
        <w:outlineLvl w:val="1"/>
        <w:rPr>
          <w:rFonts w:ascii="Times New Roman" w:hAnsi="Times New Roman" w:eastAsia="黑体" w:cs="Times New Roman"/>
          <w:szCs w:val="30"/>
        </w:rPr>
      </w:pPr>
      <w:bookmarkStart w:id="228" w:name="_Toc32279"/>
      <w:bookmarkStart w:id="229" w:name="_Toc28628"/>
      <w:bookmarkStart w:id="230" w:name="_Toc28384"/>
      <w:bookmarkStart w:id="231" w:name="_Toc187328627"/>
      <w:bookmarkStart w:id="232" w:name="_Toc14597"/>
      <w:bookmarkStart w:id="233" w:name="_Toc181730957"/>
      <w:bookmarkStart w:id="234" w:name="_Toc4933"/>
      <w:bookmarkStart w:id="235" w:name="_Toc28238"/>
      <w:bookmarkStart w:id="236" w:name="_Toc971"/>
      <w:bookmarkStart w:id="237" w:name="_Toc5202"/>
      <w:bookmarkStart w:id="238" w:name="_Toc18514"/>
      <w:bookmarkStart w:id="239" w:name="_Toc180164957"/>
      <w:bookmarkStart w:id="240" w:name="_Toc29616"/>
      <w:r>
        <w:rPr>
          <w:rFonts w:hint="eastAsia" w:ascii="Times New Roman" w:hAnsi="Times New Roman" w:eastAsia="黑体" w:cs="Times New Roman"/>
          <w:szCs w:val="30"/>
        </w:rPr>
        <w:t>一、建立可持续发展</w:t>
      </w:r>
      <w:r>
        <w:rPr>
          <w:rFonts w:ascii="Times New Roman" w:hAnsi="Times New Roman" w:eastAsia="黑体" w:cs="Times New Roman"/>
          <w:szCs w:val="30"/>
        </w:rPr>
        <w:t>/ESG</w:t>
      </w:r>
      <w:r>
        <w:rPr>
          <w:rFonts w:hint="eastAsia" w:ascii="Times New Roman" w:hAnsi="Times New Roman" w:eastAsia="黑体" w:cs="Times New Roman"/>
          <w:szCs w:val="30"/>
        </w:rPr>
        <w:t>治理架构</w:t>
      </w:r>
      <w:bookmarkEnd w:id="228"/>
      <w:bookmarkEnd w:id="229"/>
      <w:bookmarkEnd w:id="230"/>
      <w:bookmarkEnd w:id="231"/>
      <w:bookmarkEnd w:id="232"/>
      <w:bookmarkEnd w:id="233"/>
      <w:bookmarkEnd w:id="234"/>
      <w:bookmarkEnd w:id="235"/>
      <w:bookmarkEnd w:id="236"/>
      <w:bookmarkEnd w:id="237"/>
      <w:bookmarkEnd w:id="238"/>
      <w:bookmarkEnd w:id="239"/>
      <w:bookmarkEnd w:id="240"/>
    </w:p>
    <w:p w14:paraId="6F52F2DA">
      <w:pPr>
        <w:adjustRightInd w:val="0"/>
        <w:snapToGrid w:val="0"/>
        <w:spacing w:line="560" w:lineRule="exact"/>
        <w:ind w:firstLine="602" w:firstLineChars="200"/>
        <w:rPr>
          <w:rFonts w:ascii="Times New Roman" w:hAnsi="Times New Roman" w:cs="Times New Roman"/>
          <w:b/>
          <w:bCs/>
          <w:szCs w:val="30"/>
          <w:lang w:bidi="ar"/>
        </w:rPr>
      </w:pPr>
      <w:r>
        <w:rPr>
          <w:rFonts w:hint="eastAsia" w:ascii="Times New Roman" w:hAnsi="Times New Roman" w:cs="Times New Roman"/>
          <w:b/>
          <w:bCs/>
          <w:szCs w:val="30"/>
          <w:lang w:bidi="ar"/>
        </w:rPr>
        <w:t>（一）常见的公司可持续发展治理架构</w:t>
      </w:r>
    </w:p>
    <w:p w14:paraId="6CD98A58">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应当建立健全公司可持续发展相关治理架构，明确负责管理、监督可持续发展相关影响、风险和机遇的机构（例如董事会及其专门委员会等）以及管理层设置。披露主体应当加强董事会层面的ESG战略整合与监督，强化ESG专门委员会的职能和权限，优化管理层与执行层的执行能力与资源配置。</w:t>
      </w:r>
    </w:p>
    <w:p w14:paraId="570B9FDD">
      <w:pPr>
        <w:numPr>
          <w:ilvl w:val="255"/>
          <w:numId w:val="0"/>
        </w:num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可持续发展相关治理架构一般分为决策层、管理层及执行层三级。常见的可持续发展</w:t>
      </w:r>
      <w:r>
        <w:rPr>
          <w:rFonts w:ascii="Times New Roman" w:hAnsi="Times New Roman" w:cs="Times New Roman"/>
          <w:szCs w:val="30"/>
          <w:lang w:bidi="ar"/>
        </w:rPr>
        <w:t>/ESG</w:t>
      </w:r>
      <w:r>
        <w:rPr>
          <w:rFonts w:hint="eastAsia" w:ascii="Times New Roman" w:hAnsi="Times New Roman" w:cs="Times New Roman"/>
          <w:szCs w:val="30"/>
          <w:lang w:bidi="ar"/>
        </w:rPr>
        <w:t>治理架构设计中，董事会在决策层中发挥核心作用，直接参与</w:t>
      </w:r>
      <w:r>
        <w:rPr>
          <w:rFonts w:ascii="Times New Roman" w:hAnsi="Times New Roman" w:cs="Times New Roman"/>
          <w:szCs w:val="30"/>
          <w:lang w:bidi="ar"/>
        </w:rPr>
        <w:t>ESG</w:t>
      </w:r>
      <w:r>
        <w:rPr>
          <w:rFonts w:hint="eastAsia" w:ascii="Times New Roman" w:hAnsi="Times New Roman" w:cs="Times New Roman"/>
          <w:szCs w:val="30"/>
          <w:lang w:bidi="ar"/>
        </w:rPr>
        <w:t>治理。决策层主要包括以下类型：</w:t>
      </w:r>
      <w:r>
        <w:rPr>
          <w:rFonts w:ascii="Times New Roman" w:hAnsi="Times New Roman" w:cs="Times New Roman"/>
          <w:szCs w:val="30"/>
          <w:lang w:bidi="ar"/>
        </w:rPr>
        <w:t>ESG</w:t>
      </w:r>
      <w:r>
        <w:rPr>
          <w:rFonts w:hint="eastAsia" w:ascii="Times New Roman" w:hAnsi="Times New Roman" w:cs="Times New Roman"/>
          <w:szCs w:val="30"/>
          <w:lang w:bidi="ar"/>
        </w:rPr>
        <w:t>决策工作由董事会整体统筹负责、董事会授权现有专门委员会负责、董事会下设置</w:t>
      </w:r>
      <w:r>
        <w:rPr>
          <w:rFonts w:ascii="Times New Roman" w:hAnsi="Times New Roman" w:cs="Times New Roman"/>
          <w:szCs w:val="30"/>
          <w:lang w:bidi="ar"/>
        </w:rPr>
        <w:t>ESG</w:t>
      </w:r>
      <w:r>
        <w:rPr>
          <w:rFonts w:hint="eastAsia" w:ascii="Times New Roman" w:hAnsi="Times New Roman" w:cs="Times New Roman"/>
          <w:szCs w:val="30"/>
          <w:lang w:bidi="ar"/>
        </w:rPr>
        <w:t>专门委员会等。</w:t>
      </w:r>
    </w:p>
    <w:p w14:paraId="617E509C">
      <w:pPr>
        <w:numPr>
          <w:ilvl w:val="255"/>
          <w:numId w:val="0"/>
        </w:num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1</w:t>
      </w:r>
      <w:r>
        <w:rPr>
          <w:rFonts w:hint="eastAsia" w:ascii="Times New Roman" w:hAnsi="Times New Roman" w:cs="Times New Roman"/>
          <w:szCs w:val="30"/>
          <w:lang w:bidi="ar"/>
        </w:rPr>
        <w:t>）董事会可直接统筹可持续发展</w:t>
      </w:r>
      <w:r>
        <w:rPr>
          <w:rFonts w:ascii="Times New Roman" w:hAnsi="Times New Roman" w:cs="Times New Roman"/>
          <w:szCs w:val="30"/>
          <w:lang w:bidi="ar"/>
        </w:rPr>
        <w:t>/ESG</w:t>
      </w:r>
      <w:r>
        <w:rPr>
          <w:rFonts w:hint="eastAsia" w:ascii="Times New Roman" w:hAnsi="Times New Roman" w:cs="Times New Roman"/>
          <w:szCs w:val="30"/>
          <w:lang w:bidi="ar"/>
        </w:rPr>
        <w:t>治理工作，同时维持现有专门委员会架构及职责。</w:t>
      </w:r>
    </w:p>
    <w:p w14:paraId="1CCCF79D">
      <w:pPr>
        <w:numPr>
          <w:ilvl w:val="255"/>
          <w:numId w:val="0"/>
        </w:num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2</w:t>
      </w:r>
      <w:r>
        <w:rPr>
          <w:rFonts w:hint="eastAsia" w:ascii="Times New Roman" w:hAnsi="Times New Roman" w:cs="Times New Roman"/>
          <w:szCs w:val="30"/>
          <w:lang w:bidi="ar"/>
        </w:rPr>
        <w:t>）董事会授权某个或多个现有专门委员会统筹可持续发展工作。例如，将“战略委员会”调整为“战略与可持续发展委员会”或“战略与</w:t>
      </w:r>
      <w:r>
        <w:rPr>
          <w:rFonts w:ascii="Times New Roman" w:hAnsi="Times New Roman" w:cs="Times New Roman"/>
          <w:szCs w:val="30"/>
          <w:lang w:bidi="ar"/>
        </w:rPr>
        <w:t>ESG</w:t>
      </w:r>
      <w:r>
        <w:rPr>
          <w:rFonts w:hint="eastAsia" w:ascii="Times New Roman" w:hAnsi="Times New Roman" w:cs="Times New Roman"/>
          <w:szCs w:val="30"/>
          <w:lang w:bidi="ar"/>
        </w:rPr>
        <w:t>委员会”，委员会成员兼顾战略及可持续发展</w:t>
      </w:r>
      <w:r>
        <w:rPr>
          <w:rFonts w:ascii="Times New Roman" w:hAnsi="Times New Roman" w:cs="Times New Roman"/>
          <w:szCs w:val="30"/>
          <w:lang w:bidi="ar"/>
        </w:rPr>
        <w:t>/ESG</w:t>
      </w:r>
      <w:r>
        <w:rPr>
          <w:rFonts w:hint="eastAsia" w:ascii="Times New Roman" w:hAnsi="Times New Roman" w:cs="Times New Roman"/>
          <w:szCs w:val="30"/>
          <w:lang w:bidi="ar"/>
        </w:rPr>
        <w:t>背景，使战略与可持续发展</w:t>
      </w:r>
      <w:r>
        <w:rPr>
          <w:rFonts w:ascii="Times New Roman" w:hAnsi="Times New Roman" w:cs="Times New Roman"/>
          <w:szCs w:val="30"/>
          <w:lang w:bidi="ar"/>
        </w:rPr>
        <w:t>/ESG</w:t>
      </w:r>
      <w:r>
        <w:rPr>
          <w:rFonts w:hint="eastAsia" w:ascii="Times New Roman" w:hAnsi="Times New Roman" w:cs="Times New Roman"/>
          <w:szCs w:val="30"/>
          <w:lang w:bidi="ar"/>
        </w:rPr>
        <w:t>治理相融合。或授权审计委员会负责评估ESG相关风险、审查ESG政策和程序；ESG委员会或战略委员会负责制定ESG战略、审议ESG相关提案等。</w:t>
      </w:r>
    </w:p>
    <w:p w14:paraId="61BB66C4">
      <w:pPr>
        <w:numPr>
          <w:ilvl w:val="255"/>
          <w:numId w:val="0"/>
        </w:num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3</w:t>
      </w:r>
      <w:r>
        <w:rPr>
          <w:rFonts w:hint="eastAsia" w:ascii="Times New Roman" w:hAnsi="Times New Roman" w:cs="Times New Roman"/>
          <w:szCs w:val="30"/>
          <w:lang w:bidi="ar"/>
        </w:rPr>
        <w:t>）董事会下新设“</w:t>
      </w:r>
      <w:r>
        <w:rPr>
          <w:rFonts w:ascii="Times New Roman" w:hAnsi="Times New Roman" w:cs="Times New Roman"/>
          <w:szCs w:val="30"/>
          <w:lang w:bidi="ar"/>
        </w:rPr>
        <w:t>ESG</w:t>
      </w:r>
      <w:r>
        <w:rPr>
          <w:rFonts w:hint="eastAsia" w:ascii="Times New Roman" w:hAnsi="Times New Roman" w:cs="Times New Roman"/>
          <w:szCs w:val="30"/>
          <w:lang w:bidi="ar"/>
        </w:rPr>
        <w:t>委员会”，在组成上可更多考虑成员</w:t>
      </w:r>
      <w:r>
        <w:rPr>
          <w:rFonts w:ascii="Times New Roman" w:hAnsi="Times New Roman" w:cs="Times New Roman"/>
          <w:szCs w:val="30"/>
          <w:lang w:bidi="ar"/>
        </w:rPr>
        <w:t>ESG</w:t>
      </w:r>
      <w:r>
        <w:rPr>
          <w:rFonts w:hint="eastAsia" w:ascii="Times New Roman" w:hAnsi="Times New Roman" w:cs="Times New Roman"/>
          <w:szCs w:val="30"/>
          <w:lang w:bidi="ar"/>
        </w:rPr>
        <w:t>相关背景及多元化因素，单独或者与其他董事会专门委员会联合协助董事会开展</w:t>
      </w:r>
      <w:r>
        <w:rPr>
          <w:rFonts w:ascii="Times New Roman" w:hAnsi="Times New Roman" w:cs="Times New Roman"/>
          <w:szCs w:val="30"/>
          <w:lang w:bidi="ar"/>
        </w:rPr>
        <w:t>ESG</w:t>
      </w:r>
      <w:r>
        <w:rPr>
          <w:rFonts w:hint="eastAsia" w:ascii="Times New Roman" w:hAnsi="Times New Roman" w:cs="Times New Roman"/>
          <w:szCs w:val="30"/>
          <w:lang w:bidi="ar"/>
        </w:rPr>
        <w:t>治理工作，提高决策效率。</w:t>
      </w:r>
    </w:p>
    <w:p w14:paraId="17FEBD7B">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管理层和执行层的选择较为多元，包括在管理层设立</w:t>
      </w:r>
      <w:r>
        <w:rPr>
          <w:rFonts w:ascii="Times New Roman" w:hAnsi="Times New Roman" w:cs="Times New Roman"/>
          <w:szCs w:val="30"/>
          <w:lang w:bidi="ar"/>
        </w:rPr>
        <w:t>ESG</w:t>
      </w:r>
      <w:r>
        <w:rPr>
          <w:rFonts w:hint="eastAsia" w:ascii="Times New Roman" w:hAnsi="Times New Roman" w:cs="Times New Roman"/>
          <w:szCs w:val="30"/>
          <w:lang w:bidi="ar"/>
        </w:rPr>
        <w:t>管理委员会，在执行层设立</w:t>
      </w:r>
      <w:r>
        <w:rPr>
          <w:rFonts w:ascii="Times New Roman" w:hAnsi="Times New Roman" w:cs="Times New Roman"/>
          <w:szCs w:val="30"/>
          <w:lang w:bidi="ar"/>
        </w:rPr>
        <w:t>ESG</w:t>
      </w:r>
      <w:r>
        <w:rPr>
          <w:rFonts w:hint="eastAsia" w:ascii="Times New Roman" w:hAnsi="Times New Roman" w:cs="Times New Roman"/>
          <w:szCs w:val="30"/>
          <w:lang w:bidi="ar"/>
        </w:rPr>
        <w:t>执行小组、专项部门或专职岗位，公司可以结合内部管理情况设计可持续发展治理架构。</w:t>
      </w:r>
    </w:p>
    <w:p w14:paraId="198B0C76">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1</w:t>
      </w:r>
      <w:r>
        <w:rPr>
          <w:rFonts w:hint="eastAsia" w:ascii="Times New Roman" w:hAnsi="Times New Roman" w:eastAsia="黑体" w:cs="Times New Roman"/>
          <w:sz w:val="24"/>
          <w:szCs w:val="24"/>
          <w:lang w:bidi="ar"/>
        </w:rPr>
        <w:t>2：常见的可持续发展</w:t>
      </w:r>
      <w:r>
        <w:rPr>
          <w:rFonts w:ascii="Times New Roman" w:hAnsi="Times New Roman" w:eastAsia="黑体" w:cs="Times New Roman"/>
          <w:sz w:val="24"/>
          <w:szCs w:val="24"/>
          <w:lang w:bidi="ar"/>
        </w:rPr>
        <w:t>/ESG</w:t>
      </w:r>
      <w:r>
        <w:rPr>
          <w:rFonts w:hint="eastAsia" w:ascii="Times New Roman" w:hAnsi="Times New Roman" w:eastAsia="黑体" w:cs="Times New Roman"/>
          <w:sz w:val="24"/>
          <w:szCs w:val="24"/>
          <w:lang w:bidi="ar"/>
        </w:rPr>
        <w:t>治理架构</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42"/>
        <w:gridCol w:w="5180"/>
      </w:tblGrid>
      <w:tr w14:paraId="6C9FD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1961" w:type="pct"/>
            <w:tcBorders>
              <w:top w:val="single" w:color="auto" w:sz="4" w:space="0"/>
              <w:left w:val="single" w:color="auto" w:sz="4" w:space="0"/>
              <w:bottom w:val="single" w:color="auto" w:sz="4" w:space="0"/>
              <w:right w:val="single" w:color="auto" w:sz="4" w:space="0"/>
            </w:tcBorders>
            <w:shd w:val="clear" w:color="auto" w:fill="auto"/>
            <w:vAlign w:val="center"/>
          </w:tcPr>
          <w:p w14:paraId="5BFA0E23">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类型</w:t>
            </w:r>
          </w:p>
        </w:tc>
        <w:tc>
          <w:tcPr>
            <w:tcW w:w="3039" w:type="pct"/>
            <w:tcBorders>
              <w:top w:val="single" w:color="auto" w:sz="4" w:space="0"/>
              <w:left w:val="single" w:color="auto" w:sz="4" w:space="0"/>
              <w:bottom w:val="single" w:color="auto" w:sz="4" w:space="0"/>
              <w:right w:val="single" w:color="auto" w:sz="4" w:space="0"/>
            </w:tcBorders>
            <w:shd w:val="clear" w:color="auto" w:fill="auto"/>
            <w:vAlign w:val="center"/>
          </w:tcPr>
          <w:p w14:paraId="5CFFC3EB">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架构（示意图）</w:t>
            </w:r>
          </w:p>
        </w:tc>
      </w:tr>
      <w:tr w14:paraId="6D35B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8" w:hRule="atLeast"/>
          <w:jc w:val="center"/>
        </w:trPr>
        <w:tc>
          <w:tcPr>
            <w:tcW w:w="1961" w:type="pct"/>
            <w:tcBorders>
              <w:top w:val="single" w:color="auto" w:sz="4" w:space="0"/>
              <w:left w:val="single" w:color="auto" w:sz="4" w:space="0"/>
              <w:bottom w:val="single" w:color="auto" w:sz="4" w:space="0"/>
              <w:right w:val="single" w:color="auto" w:sz="4" w:space="0"/>
            </w:tcBorders>
            <w:vAlign w:val="center"/>
          </w:tcPr>
          <w:p w14:paraId="4B5E71BD">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类型一：董事会直接领导</w:t>
            </w:r>
          </w:p>
        </w:tc>
        <w:tc>
          <w:tcPr>
            <w:tcW w:w="3039" w:type="pct"/>
            <w:tcBorders>
              <w:top w:val="single" w:color="auto" w:sz="4" w:space="0"/>
              <w:left w:val="single" w:color="auto" w:sz="4" w:space="0"/>
              <w:bottom w:val="single" w:color="auto" w:sz="4" w:space="0"/>
              <w:right w:val="single" w:color="auto" w:sz="4" w:space="0"/>
            </w:tcBorders>
            <w:vAlign w:val="center"/>
          </w:tcPr>
          <w:p w14:paraId="74BB579C">
            <w:pPr>
              <w:adjustRightInd w:val="0"/>
              <w:snapToGrid w:val="0"/>
              <w:jc w:val="center"/>
              <w:rPr>
                <w:rFonts w:ascii="Times New Roman" w:hAnsi="Times New Roman" w:cs="Times New Roman"/>
                <w:kern w:val="0"/>
                <w:sz w:val="24"/>
                <w:szCs w:val="24"/>
                <w:lang w:bidi="ar"/>
              </w:rPr>
            </w:pPr>
            <w:r>
              <w:rPr>
                <w:rFonts w:ascii="Times New Roman" w:hAnsi="Times New Roman" w:cs="Times New Roman"/>
                <w:kern w:val="0"/>
                <w:sz w:val="24"/>
                <w:szCs w:val="24"/>
              </w:rPr>
              <w:drawing>
                <wp:inline distT="0" distB="0" distL="0" distR="0">
                  <wp:extent cx="2011680" cy="1826895"/>
                  <wp:effectExtent l="0" t="0" r="7620" b="1905"/>
                  <wp:docPr id="11" name="图片 9"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图示&#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046604" cy="1859071"/>
                          </a:xfrm>
                          <a:prstGeom prst="rect">
                            <a:avLst/>
                          </a:prstGeom>
                          <a:noFill/>
                          <a:ln>
                            <a:noFill/>
                          </a:ln>
                        </pic:spPr>
                      </pic:pic>
                    </a:graphicData>
                  </a:graphic>
                </wp:inline>
              </w:drawing>
            </w:r>
          </w:p>
        </w:tc>
      </w:tr>
      <w:tr w14:paraId="14975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6" w:hRule="atLeast"/>
          <w:jc w:val="center"/>
        </w:trPr>
        <w:tc>
          <w:tcPr>
            <w:tcW w:w="1961" w:type="pct"/>
            <w:tcBorders>
              <w:top w:val="single" w:color="auto" w:sz="4" w:space="0"/>
              <w:left w:val="single" w:color="auto" w:sz="4" w:space="0"/>
              <w:bottom w:val="single" w:color="auto" w:sz="4" w:space="0"/>
              <w:right w:val="single" w:color="auto" w:sz="4" w:space="0"/>
            </w:tcBorders>
            <w:vAlign w:val="center"/>
          </w:tcPr>
          <w:p w14:paraId="11799F26">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类型二：董事会授权现有的某个或多个专门委员会领导</w:t>
            </w:r>
          </w:p>
        </w:tc>
        <w:tc>
          <w:tcPr>
            <w:tcW w:w="3039" w:type="pct"/>
            <w:tcBorders>
              <w:top w:val="single" w:color="auto" w:sz="4" w:space="0"/>
              <w:left w:val="single" w:color="auto" w:sz="4" w:space="0"/>
              <w:bottom w:val="single" w:color="auto" w:sz="4" w:space="0"/>
              <w:right w:val="single" w:color="auto" w:sz="4" w:space="0"/>
            </w:tcBorders>
            <w:vAlign w:val="center"/>
          </w:tcPr>
          <w:p w14:paraId="641276D3">
            <w:pPr>
              <w:adjustRightInd w:val="0"/>
              <w:snapToGrid w:val="0"/>
              <w:jc w:val="center"/>
              <w:rPr>
                <w:rFonts w:ascii="Times New Roman" w:hAnsi="Times New Roman" w:cs="Times New Roman"/>
                <w:kern w:val="0"/>
                <w:sz w:val="24"/>
                <w:szCs w:val="24"/>
                <w:lang w:bidi="ar"/>
              </w:rPr>
            </w:pPr>
            <w:r>
              <w:rPr>
                <w:rFonts w:ascii="Times New Roman" w:hAnsi="Times New Roman" w:cs="Times New Roman"/>
                <w:kern w:val="0"/>
                <w:sz w:val="24"/>
                <w:szCs w:val="24"/>
              </w:rPr>
              <w:drawing>
                <wp:inline distT="0" distB="0" distL="0" distR="0">
                  <wp:extent cx="2162175" cy="1946910"/>
                  <wp:effectExtent l="0" t="0" r="9525" b="0"/>
                  <wp:docPr id="12" name="图片 8"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图示&#10;&#10;描述已自动生成"/>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162175" cy="1946910"/>
                          </a:xfrm>
                          <a:prstGeom prst="rect">
                            <a:avLst/>
                          </a:prstGeom>
                          <a:noFill/>
                          <a:ln>
                            <a:noFill/>
                          </a:ln>
                        </pic:spPr>
                      </pic:pic>
                    </a:graphicData>
                  </a:graphic>
                </wp:inline>
              </w:drawing>
            </w:r>
          </w:p>
          <w:p w14:paraId="699BE15D">
            <w:pPr>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或</w:t>
            </w:r>
          </w:p>
          <w:p w14:paraId="6821E8E4">
            <w:pPr>
              <w:adjustRightInd w:val="0"/>
              <w:snapToGrid w:val="0"/>
              <w:jc w:val="center"/>
              <w:rPr>
                <w:rFonts w:ascii="Times New Roman" w:hAnsi="Times New Roman" w:cs="Times New Roman"/>
                <w:kern w:val="0"/>
                <w:sz w:val="24"/>
                <w:szCs w:val="24"/>
                <w:lang w:bidi="ar"/>
              </w:rPr>
            </w:pPr>
            <w:r>
              <w:rPr>
                <w:rFonts w:ascii="Times New Roman" w:hAnsi="Times New Roman" w:cs="Times New Roman"/>
                <w:kern w:val="0"/>
                <w:sz w:val="24"/>
                <w:szCs w:val="24"/>
              </w:rPr>
              <w:drawing>
                <wp:inline distT="0" distB="0" distL="0" distR="0">
                  <wp:extent cx="1835785" cy="1537335"/>
                  <wp:effectExtent l="0" t="0" r="0" b="5715"/>
                  <wp:docPr id="2136151070" name="图片 6"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151070" name="图片 6" descr="图示&#10;&#10;描述已自动生成"/>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856582" cy="1554370"/>
                          </a:xfrm>
                          <a:prstGeom prst="rect">
                            <a:avLst/>
                          </a:prstGeom>
                          <a:noFill/>
                          <a:ln>
                            <a:noFill/>
                          </a:ln>
                        </pic:spPr>
                      </pic:pic>
                    </a:graphicData>
                  </a:graphic>
                </wp:inline>
              </w:drawing>
            </w:r>
          </w:p>
        </w:tc>
      </w:tr>
      <w:tr w14:paraId="291C9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56" w:hRule="atLeast"/>
          <w:jc w:val="center"/>
        </w:trPr>
        <w:tc>
          <w:tcPr>
            <w:tcW w:w="1961" w:type="pct"/>
            <w:tcBorders>
              <w:top w:val="single" w:color="auto" w:sz="4" w:space="0"/>
              <w:left w:val="single" w:color="auto" w:sz="4" w:space="0"/>
              <w:bottom w:val="single" w:color="auto" w:sz="4" w:space="0"/>
              <w:right w:val="single" w:color="auto" w:sz="4" w:space="0"/>
            </w:tcBorders>
            <w:vAlign w:val="center"/>
          </w:tcPr>
          <w:p w14:paraId="6E35C99D">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类型三：董事会下设专门委员会领导</w:t>
            </w:r>
          </w:p>
        </w:tc>
        <w:tc>
          <w:tcPr>
            <w:tcW w:w="3039" w:type="pct"/>
            <w:tcBorders>
              <w:top w:val="single" w:color="auto" w:sz="4" w:space="0"/>
              <w:left w:val="single" w:color="auto" w:sz="4" w:space="0"/>
              <w:bottom w:val="single" w:color="auto" w:sz="4" w:space="0"/>
              <w:right w:val="single" w:color="auto" w:sz="4" w:space="0"/>
            </w:tcBorders>
            <w:vAlign w:val="center"/>
          </w:tcPr>
          <w:p w14:paraId="54F1D9D5">
            <w:pPr>
              <w:adjustRightInd w:val="0"/>
              <w:snapToGrid w:val="0"/>
              <w:jc w:val="center"/>
              <w:rPr>
                <w:rFonts w:ascii="Times New Roman" w:hAnsi="Times New Roman" w:cs="Times New Roman"/>
                <w:kern w:val="0"/>
                <w:sz w:val="24"/>
                <w:szCs w:val="24"/>
              </w:rPr>
            </w:pPr>
            <w:r>
              <w:rPr>
                <w:rFonts w:ascii="Times New Roman" w:hAnsi="Times New Roman" w:cs="Times New Roman"/>
                <w:kern w:val="0"/>
                <w:sz w:val="24"/>
                <w:szCs w:val="24"/>
              </w:rPr>
              <w:drawing>
                <wp:inline distT="0" distB="0" distL="0" distR="0">
                  <wp:extent cx="2078355" cy="1732915"/>
                  <wp:effectExtent l="0" t="0" r="0" b="635"/>
                  <wp:docPr id="1607893345" name="图片 7"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893345" name="图片 7" descr="图示&#10;&#10;描述已自动生成"/>
                          <pic:cNvPicPr>
                            <a:picLocks noChangeAspect="1" noChangeArrowheads="1"/>
                          </pic:cNvPicPr>
                        </pic:nvPicPr>
                        <pic:blipFill>
                          <a:blip r:embed="rId13" cstate="print">
                            <a:extLst>
                              <a:ext uri="{28A0092B-C50C-407E-A947-70E740481C1C}">
                                <a14:useLocalDpi xmlns:a14="http://schemas.microsoft.com/office/drawing/2010/main" val="0"/>
                              </a:ext>
                            </a:extLst>
                          </a:blip>
                          <a:srcRect b="4669"/>
                          <a:stretch>
                            <a:fillRect/>
                          </a:stretch>
                        </pic:blipFill>
                        <pic:spPr>
                          <a:xfrm>
                            <a:off x="0" y="0"/>
                            <a:ext cx="2101076" cy="1752110"/>
                          </a:xfrm>
                          <a:prstGeom prst="rect">
                            <a:avLst/>
                          </a:prstGeom>
                          <a:noFill/>
                          <a:ln>
                            <a:noFill/>
                          </a:ln>
                        </pic:spPr>
                      </pic:pic>
                    </a:graphicData>
                  </a:graphic>
                </wp:inline>
              </w:drawing>
            </w:r>
          </w:p>
        </w:tc>
      </w:tr>
    </w:tbl>
    <w:p w14:paraId="6B7D876A">
      <w:pPr>
        <w:numPr>
          <w:ilvl w:val="255"/>
          <w:numId w:val="0"/>
        </w:numPr>
        <w:adjustRightInd w:val="0"/>
        <w:snapToGrid w:val="0"/>
        <w:ind w:firstLine="480" w:firstLineChars="200"/>
        <w:rPr>
          <w:rFonts w:ascii="Times New Roman" w:hAnsi="Times New Roman" w:cs="Times New Roman"/>
          <w:sz w:val="24"/>
          <w:szCs w:val="24"/>
          <w:lang w:bidi="ar"/>
        </w:rPr>
      </w:pPr>
      <w:r>
        <w:rPr>
          <w:rFonts w:hint="eastAsia" w:ascii="Times New Roman" w:hAnsi="Times New Roman" w:cs="Times New Roman"/>
          <w:sz w:val="24"/>
          <w:szCs w:val="24"/>
          <w:lang w:bidi="ar"/>
        </w:rPr>
        <w:t>注：以上仅为名称示例，公司根据自身实际情况对管理架构的名称自行定义，规定相关职责。</w:t>
      </w:r>
    </w:p>
    <w:p w14:paraId="353A992D">
      <w:pPr>
        <w:numPr>
          <w:ilvl w:val="255"/>
          <w:numId w:val="0"/>
        </w:numPr>
        <w:adjustRightInd w:val="0"/>
        <w:snapToGrid w:val="0"/>
        <w:spacing w:line="560" w:lineRule="exact"/>
        <w:ind w:firstLine="602" w:firstLineChars="200"/>
        <w:rPr>
          <w:rFonts w:ascii="Times New Roman" w:hAnsi="Times New Roman" w:cs="Times New Roman"/>
          <w:b/>
          <w:bCs/>
          <w:szCs w:val="30"/>
          <w:lang w:bidi="ar"/>
        </w:rPr>
      </w:pPr>
      <w:r>
        <w:rPr>
          <w:rFonts w:hint="eastAsia" w:ascii="Times New Roman" w:hAnsi="Times New Roman" w:cs="Times New Roman"/>
          <w:b/>
          <w:bCs/>
          <w:szCs w:val="30"/>
          <w:lang w:bidi="ar"/>
        </w:rPr>
        <w:t>（二）具体治理安排</w:t>
      </w:r>
    </w:p>
    <w:p w14:paraId="3211B1B1">
      <w:pPr>
        <w:numPr>
          <w:ilvl w:val="255"/>
          <w:numId w:val="0"/>
        </w:num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披露主体应当明确可持续发展相关治理架构各层级的人员构成、职责范围、工作任务及目标，并确保机构和人员在执行、监督可持续发展相关影响、风险和机遇的战略、制度等方面的专业技能和能力。</w:t>
      </w:r>
    </w:p>
    <w:p w14:paraId="26575EDB">
      <w:pPr>
        <w:numPr>
          <w:ilvl w:val="255"/>
          <w:numId w:val="0"/>
        </w:numPr>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lang w:bidi="ar"/>
        </w:rPr>
        <w:t>1</w:t>
      </w:r>
      <w:r>
        <w:rPr>
          <w:rFonts w:hint="eastAsia" w:ascii="Times New Roman" w:hAnsi="Times New Roman" w:cs="Times New Roman"/>
          <w:szCs w:val="30"/>
          <w:lang w:bidi="ar"/>
        </w:rPr>
        <w:t>、人员构成及职权范围</w:t>
      </w:r>
    </w:p>
    <w:p w14:paraId="02E9964C">
      <w:pPr>
        <w:numPr>
          <w:ilvl w:val="255"/>
          <w:numId w:val="0"/>
        </w:num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常见的决策层、管理层和执行层三级治理架构中，各层级人员构成和职责范围示例如下。</w:t>
      </w:r>
    </w:p>
    <w:p w14:paraId="4FE04688">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1</w:t>
      </w:r>
      <w:r>
        <w:rPr>
          <w:rFonts w:hint="eastAsia" w:ascii="Times New Roman" w:hAnsi="Times New Roman" w:eastAsia="黑体" w:cs="Times New Roman"/>
          <w:sz w:val="24"/>
          <w:szCs w:val="24"/>
          <w:lang w:bidi="ar"/>
        </w:rPr>
        <w:t>3：常见可持续发展</w:t>
      </w:r>
      <w:r>
        <w:rPr>
          <w:rFonts w:ascii="Times New Roman" w:hAnsi="Times New Roman" w:eastAsia="黑体" w:cs="Times New Roman"/>
          <w:sz w:val="24"/>
          <w:szCs w:val="24"/>
          <w:lang w:bidi="ar"/>
        </w:rPr>
        <w:t>/ESG</w:t>
      </w:r>
      <w:r>
        <w:rPr>
          <w:rFonts w:hint="eastAsia" w:ascii="Times New Roman" w:hAnsi="Times New Roman" w:eastAsia="黑体" w:cs="Times New Roman"/>
          <w:sz w:val="24"/>
          <w:szCs w:val="24"/>
          <w:lang w:bidi="ar"/>
        </w:rPr>
        <w:t>治理架构人员构成及职责范围</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3"/>
        <w:gridCol w:w="3136"/>
        <w:gridCol w:w="4013"/>
      </w:tblGrid>
      <w:tr w14:paraId="6FE6B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shd w:val="clear" w:color="auto" w:fill="auto"/>
            <w:vAlign w:val="center"/>
          </w:tcPr>
          <w:p w14:paraId="5FB500BE">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层级</w:t>
            </w:r>
          </w:p>
        </w:tc>
        <w:tc>
          <w:tcPr>
            <w:tcW w:w="3053" w:type="dxa"/>
            <w:shd w:val="clear" w:color="auto" w:fill="auto"/>
            <w:vAlign w:val="center"/>
          </w:tcPr>
          <w:p w14:paraId="48CBF9E3">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人员构成</w:t>
            </w:r>
          </w:p>
        </w:tc>
        <w:tc>
          <w:tcPr>
            <w:tcW w:w="3906" w:type="dxa"/>
            <w:shd w:val="clear" w:color="auto" w:fill="auto"/>
            <w:vAlign w:val="center"/>
          </w:tcPr>
          <w:p w14:paraId="5F0B5ADF">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职责范围</w:t>
            </w:r>
          </w:p>
        </w:tc>
      </w:tr>
      <w:tr w14:paraId="7FEFF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shd w:val="clear" w:color="auto" w:fill="auto"/>
            <w:vAlign w:val="center"/>
          </w:tcPr>
          <w:p w14:paraId="3B2F3D7F">
            <w:pPr>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决策层</w:t>
            </w:r>
          </w:p>
        </w:tc>
        <w:tc>
          <w:tcPr>
            <w:tcW w:w="3053" w:type="dxa"/>
            <w:shd w:val="clear" w:color="auto" w:fill="auto"/>
            <w:vAlign w:val="center"/>
          </w:tcPr>
          <w:p w14:paraId="36453066">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由公司董事会成员组成。</w:t>
            </w:r>
          </w:p>
        </w:tc>
        <w:tc>
          <w:tcPr>
            <w:tcW w:w="3906" w:type="dxa"/>
            <w:shd w:val="clear" w:color="auto" w:fill="auto"/>
            <w:vAlign w:val="center"/>
          </w:tcPr>
          <w:p w14:paraId="0D3C3AC2">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职责范围可包括:</w:t>
            </w:r>
          </w:p>
          <w:p w14:paraId="4D0D0E8A">
            <w:pPr>
              <w:pStyle w:val="51"/>
              <w:numPr>
                <w:ilvl w:val="0"/>
                <w:numId w:val="2"/>
              </w:numPr>
              <w:rPr>
                <w:rFonts w:ascii="Times New Roman"/>
                <w:kern w:val="0"/>
                <w:lang w:bidi="ar"/>
              </w:rPr>
            </w:pPr>
            <w:r>
              <w:rPr>
                <w:rFonts w:hint="eastAsia" w:ascii="Times New Roman"/>
                <w:kern w:val="0"/>
                <w:lang w:bidi="ar"/>
              </w:rPr>
              <w:t>了解、分析和掌握国际国内行业现状和可持续发展相关政策，了解并掌握公司经营管理的全面情况</w:t>
            </w:r>
          </w:p>
          <w:p w14:paraId="158B14F7">
            <w:pPr>
              <w:pStyle w:val="51"/>
              <w:numPr>
                <w:ilvl w:val="0"/>
                <w:numId w:val="2"/>
              </w:numPr>
              <w:rPr>
                <w:rFonts w:ascii="Times New Roman"/>
                <w:kern w:val="0"/>
                <w:lang w:bidi="ar"/>
              </w:rPr>
            </w:pPr>
            <w:r>
              <w:rPr>
                <w:rFonts w:hint="eastAsia" w:ascii="Times New Roman"/>
                <w:kern w:val="0"/>
                <w:lang w:bidi="ar"/>
              </w:rPr>
              <w:t>监督公司的可持续发展相关影响、风险和机遇的评估</w:t>
            </w:r>
          </w:p>
          <w:p w14:paraId="36A0B2C3">
            <w:pPr>
              <w:pStyle w:val="51"/>
              <w:numPr>
                <w:ilvl w:val="0"/>
                <w:numId w:val="2"/>
              </w:numPr>
              <w:rPr>
                <w:rFonts w:ascii="Times New Roman"/>
                <w:kern w:val="0"/>
                <w:lang w:bidi="ar"/>
              </w:rPr>
            </w:pPr>
            <w:r>
              <w:rPr>
                <w:rFonts w:hint="eastAsia" w:ascii="Times New Roman"/>
                <w:kern w:val="0"/>
                <w:lang w:bidi="ar"/>
              </w:rPr>
              <w:t>指导及审阅公司可持续发展方针、战略及目标</w:t>
            </w:r>
          </w:p>
          <w:p w14:paraId="1AC5FCC3">
            <w:pPr>
              <w:pStyle w:val="51"/>
              <w:numPr>
                <w:ilvl w:val="0"/>
                <w:numId w:val="2"/>
              </w:numPr>
              <w:rPr>
                <w:rFonts w:ascii="Times New Roman"/>
                <w:kern w:val="0"/>
                <w:lang w:bidi="ar"/>
              </w:rPr>
            </w:pPr>
            <w:r>
              <w:rPr>
                <w:rFonts w:hint="eastAsia" w:ascii="Times New Roman"/>
                <w:kern w:val="0"/>
                <w:lang w:bidi="ar"/>
              </w:rPr>
              <w:t>定期监督可持续发展相关目标进展及完成情况</w:t>
            </w:r>
          </w:p>
          <w:p w14:paraId="44C2515A">
            <w:pPr>
              <w:pStyle w:val="51"/>
              <w:numPr>
                <w:ilvl w:val="0"/>
                <w:numId w:val="2"/>
              </w:numPr>
              <w:rPr>
                <w:rFonts w:ascii="Times New Roman"/>
                <w:kern w:val="0"/>
                <w:lang w:bidi="ar"/>
              </w:rPr>
            </w:pPr>
            <w:r>
              <w:rPr>
                <w:rFonts w:hint="eastAsia" w:ascii="Times New Roman"/>
                <w:kern w:val="0"/>
                <w:lang w:bidi="ar"/>
              </w:rPr>
              <w:t>审批公司《可持续发展报告》</w:t>
            </w:r>
          </w:p>
          <w:p w14:paraId="72E6F417">
            <w:pPr>
              <w:pStyle w:val="51"/>
              <w:numPr>
                <w:ilvl w:val="0"/>
                <w:numId w:val="2"/>
              </w:numPr>
              <w:rPr>
                <w:rFonts w:ascii="Times New Roman"/>
                <w:kern w:val="0"/>
                <w:lang w:bidi="ar"/>
              </w:rPr>
            </w:pPr>
            <w:r>
              <w:rPr>
                <w:rFonts w:hint="eastAsia" w:ascii="Times New Roman"/>
                <w:kern w:val="0"/>
                <w:lang w:bidi="ar"/>
              </w:rPr>
              <w:t>对可持续发展相关工作执行情况进行监督检查，并适时提出指导意见等</w:t>
            </w:r>
          </w:p>
        </w:tc>
      </w:tr>
      <w:tr w14:paraId="5E09F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shd w:val="clear" w:color="auto" w:fill="auto"/>
            <w:vAlign w:val="center"/>
          </w:tcPr>
          <w:p w14:paraId="62D4672C">
            <w:pPr>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管理层</w:t>
            </w:r>
          </w:p>
        </w:tc>
        <w:tc>
          <w:tcPr>
            <w:tcW w:w="3053" w:type="dxa"/>
            <w:shd w:val="clear" w:color="auto" w:fill="auto"/>
            <w:vAlign w:val="center"/>
          </w:tcPr>
          <w:p w14:paraId="74C5814C">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成员包括具备可持续发展相关知识的高级管理人员、各相关职能部门及子公司相关负责人。</w:t>
            </w:r>
          </w:p>
        </w:tc>
        <w:tc>
          <w:tcPr>
            <w:tcW w:w="3906" w:type="dxa"/>
            <w:shd w:val="clear" w:color="auto" w:fill="auto"/>
            <w:vAlign w:val="center"/>
          </w:tcPr>
          <w:p w14:paraId="781ACE2B">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职责范围可包括:</w:t>
            </w:r>
          </w:p>
          <w:p w14:paraId="6DCDF5A0">
            <w:pPr>
              <w:pStyle w:val="51"/>
              <w:rPr>
                <w:kern w:val="0"/>
                <w:lang w:bidi="ar"/>
              </w:rPr>
            </w:pPr>
            <w:r>
              <w:rPr>
                <w:rFonts w:hint="eastAsia"/>
                <w:kern w:val="0"/>
                <w:lang w:bidi="ar"/>
              </w:rPr>
              <w:t>管理重要性议题以提供分析、建议供决策层讨论，以确保董事会进行监督</w:t>
            </w:r>
          </w:p>
          <w:p w14:paraId="1E2FB748">
            <w:pPr>
              <w:pStyle w:val="51"/>
              <w:rPr>
                <w:kern w:val="0"/>
                <w:lang w:bidi="ar"/>
              </w:rPr>
            </w:pPr>
            <w:r>
              <w:rPr>
                <w:rFonts w:hint="eastAsia"/>
                <w:kern w:val="0"/>
                <w:lang w:bidi="ar"/>
              </w:rPr>
              <w:t>确定及管理为识别、减缓、管理及监察可持续发展相关影响、风险和机遇所需分配的成本及资源（如员工、技术）等</w:t>
            </w:r>
          </w:p>
          <w:p w14:paraId="6135EA25">
            <w:pPr>
              <w:pStyle w:val="51"/>
              <w:rPr>
                <w:kern w:val="0"/>
                <w:lang w:bidi="ar"/>
              </w:rPr>
            </w:pPr>
            <w:r>
              <w:rPr>
                <w:rFonts w:hint="eastAsia"/>
                <w:kern w:val="0"/>
                <w:lang w:bidi="ar"/>
              </w:rPr>
              <w:t>拟定可持续发展工作计划，以及可持续发展激励及考核制度等</w:t>
            </w:r>
          </w:p>
          <w:p w14:paraId="24C6E45F">
            <w:pPr>
              <w:pStyle w:val="51"/>
              <w:rPr>
                <w:kern w:val="0"/>
                <w:lang w:bidi="ar"/>
              </w:rPr>
            </w:pPr>
            <w:r>
              <w:rPr>
                <w:rFonts w:hint="eastAsia"/>
                <w:kern w:val="0"/>
                <w:lang w:bidi="ar"/>
              </w:rPr>
              <w:t>其他可持续发展相关的事项</w:t>
            </w:r>
          </w:p>
        </w:tc>
      </w:tr>
      <w:tr w14:paraId="64C13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7" w:type="dxa"/>
            <w:shd w:val="clear" w:color="auto" w:fill="auto"/>
            <w:vAlign w:val="center"/>
          </w:tcPr>
          <w:p w14:paraId="5187B809">
            <w:pPr>
              <w:adjustRightInd w:val="0"/>
              <w:snapToGrid w:val="0"/>
              <w:jc w:val="center"/>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执行层</w:t>
            </w:r>
          </w:p>
        </w:tc>
        <w:tc>
          <w:tcPr>
            <w:tcW w:w="3053" w:type="dxa"/>
            <w:shd w:val="clear" w:color="auto" w:fill="auto"/>
            <w:vAlign w:val="center"/>
          </w:tcPr>
          <w:p w14:paraId="0C512B23">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设立</w:t>
            </w:r>
            <w:r>
              <w:rPr>
                <w:rFonts w:ascii="Times New Roman" w:hAnsi="Times New Roman" w:cs="Times New Roman"/>
                <w:kern w:val="0"/>
                <w:sz w:val="24"/>
                <w:szCs w:val="24"/>
                <w:lang w:bidi="ar"/>
              </w:rPr>
              <w:t>ESG</w:t>
            </w:r>
            <w:r>
              <w:rPr>
                <w:rFonts w:hint="eastAsia" w:ascii="Times New Roman" w:hAnsi="Times New Roman" w:cs="Times New Roman"/>
                <w:kern w:val="0"/>
                <w:sz w:val="24"/>
                <w:szCs w:val="24"/>
                <w:lang w:bidi="ar"/>
              </w:rPr>
              <w:t>执行小组，成员包括具体工作人员以及对</w:t>
            </w:r>
            <w:r>
              <w:rPr>
                <w:rFonts w:ascii="Times New Roman" w:hAnsi="Times New Roman" w:cs="Times New Roman"/>
                <w:kern w:val="0"/>
                <w:sz w:val="24"/>
                <w:szCs w:val="24"/>
                <w:lang w:bidi="ar"/>
              </w:rPr>
              <w:t>ESG</w:t>
            </w:r>
            <w:r>
              <w:rPr>
                <w:rFonts w:hint="eastAsia" w:ascii="Times New Roman" w:hAnsi="Times New Roman" w:cs="Times New Roman"/>
                <w:kern w:val="0"/>
                <w:sz w:val="24"/>
                <w:szCs w:val="24"/>
                <w:lang w:bidi="ar"/>
              </w:rPr>
              <w:t>及公司业务有充分认识的员工，也可以是专兼职岗位。</w:t>
            </w:r>
          </w:p>
        </w:tc>
        <w:tc>
          <w:tcPr>
            <w:tcW w:w="3906" w:type="dxa"/>
            <w:shd w:val="clear" w:color="auto" w:fill="auto"/>
            <w:vAlign w:val="center"/>
          </w:tcPr>
          <w:p w14:paraId="21A9687B">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职责范围可包括:</w:t>
            </w:r>
          </w:p>
          <w:p w14:paraId="75096FBE">
            <w:pPr>
              <w:pStyle w:val="51"/>
              <w:numPr>
                <w:ilvl w:val="0"/>
                <w:numId w:val="3"/>
              </w:numPr>
              <w:rPr>
                <w:rFonts w:ascii="Times New Roman"/>
                <w:kern w:val="0"/>
                <w:lang w:bidi="ar"/>
              </w:rPr>
            </w:pPr>
            <w:r>
              <w:rPr>
                <w:rFonts w:hint="eastAsia" w:ascii="Times New Roman"/>
                <w:kern w:val="0"/>
                <w:lang w:bidi="ar"/>
              </w:rPr>
              <w:t>制定利益相关方参与计划，组织利益相关方沟通活动</w:t>
            </w:r>
          </w:p>
          <w:p w14:paraId="016DE5C2">
            <w:pPr>
              <w:pStyle w:val="51"/>
              <w:numPr>
                <w:ilvl w:val="0"/>
                <w:numId w:val="3"/>
              </w:numPr>
              <w:rPr>
                <w:rFonts w:ascii="Times New Roman"/>
                <w:kern w:val="0"/>
                <w:lang w:bidi="ar"/>
              </w:rPr>
            </w:pPr>
            <w:r>
              <w:rPr>
                <w:rFonts w:hint="eastAsia" w:ascii="Times New Roman"/>
                <w:kern w:val="0"/>
                <w:lang w:bidi="ar"/>
              </w:rPr>
              <w:t>协调编制可持续发展报告</w:t>
            </w:r>
          </w:p>
          <w:p w14:paraId="755113B7">
            <w:pPr>
              <w:pStyle w:val="51"/>
              <w:numPr>
                <w:ilvl w:val="0"/>
                <w:numId w:val="3"/>
              </w:numPr>
              <w:rPr>
                <w:rFonts w:ascii="Times New Roman"/>
                <w:kern w:val="0"/>
                <w:lang w:bidi="ar"/>
              </w:rPr>
            </w:pPr>
            <w:r>
              <w:rPr>
                <w:rFonts w:hint="eastAsia" w:ascii="Times New Roman"/>
                <w:kern w:val="0"/>
                <w:lang w:bidi="ar"/>
              </w:rPr>
              <w:t>负责公司可持续相关管理、数据统计与分析、投资者及研究机构沟通等方面的能力构建</w:t>
            </w:r>
          </w:p>
          <w:p w14:paraId="4D4D5BDF">
            <w:pPr>
              <w:pStyle w:val="51"/>
              <w:numPr>
                <w:ilvl w:val="0"/>
                <w:numId w:val="3"/>
              </w:numPr>
              <w:rPr>
                <w:rFonts w:ascii="Times New Roman"/>
                <w:kern w:val="0"/>
                <w:lang w:bidi="ar"/>
              </w:rPr>
            </w:pPr>
            <w:r>
              <w:rPr>
                <w:rFonts w:hint="eastAsia" w:ascii="Times New Roman"/>
                <w:kern w:val="0"/>
                <w:lang w:bidi="ar"/>
              </w:rPr>
              <w:t>完善可持续发展相关管理制度，执行可持续发展工作计划</w:t>
            </w:r>
          </w:p>
          <w:p w14:paraId="45196F29">
            <w:pPr>
              <w:pStyle w:val="51"/>
              <w:numPr>
                <w:ilvl w:val="0"/>
                <w:numId w:val="3"/>
              </w:numPr>
              <w:rPr>
                <w:rFonts w:ascii="Times New Roman"/>
                <w:kern w:val="0"/>
                <w:lang w:bidi="ar"/>
              </w:rPr>
            </w:pPr>
            <w:r>
              <w:rPr>
                <w:rFonts w:hint="eastAsia" w:ascii="Times New Roman"/>
                <w:kern w:val="0"/>
                <w:lang w:bidi="ar"/>
              </w:rPr>
              <w:t>定期工作成果向管理层汇报</w:t>
            </w:r>
          </w:p>
          <w:p w14:paraId="65E86FE0">
            <w:pPr>
              <w:pStyle w:val="51"/>
              <w:numPr>
                <w:ilvl w:val="0"/>
                <w:numId w:val="3"/>
              </w:numPr>
              <w:rPr>
                <w:rFonts w:ascii="Times New Roman"/>
                <w:kern w:val="0"/>
                <w:lang w:bidi="ar"/>
              </w:rPr>
            </w:pPr>
            <w:r>
              <w:rPr>
                <w:rFonts w:hint="eastAsia" w:ascii="Times New Roman"/>
                <w:kern w:val="0"/>
                <w:lang w:bidi="ar"/>
              </w:rPr>
              <w:t>其他可持续发展相关的事项</w:t>
            </w:r>
          </w:p>
        </w:tc>
      </w:tr>
    </w:tbl>
    <w:p w14:paraId="2958D4A5">
      <w:pPr>
        <w:numPr>
          <w:ilvl w:val="255"/>
          <w:numId w:val="0"/>
        </w:numPr>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lang w:bidi="ar"/>
        </w:rPr>
        <w:t>2</w:t>
      </w:r>
      <w:r>
        <w:rPr>
          <w:rFonts w:hint="eastAsia" w:ascii="Times New Roman" w:hAnsi="Times New Roman" w:cs="Times New Roman"/>
          <w:szCs w:val="30"/>
          <w:lang w:bidi="ar"/>
        </w:rPr>
        <w:t>、工作任务及目标设定</w:t>
      </w:r>
    </w:p>
    <w:p w14:paraId="5C92C3EB">
      <w:pPr>
        <w:numPr>
          <w:ilvl w:val="255"/>
          <w:numId w:val="0"/>
        </w:num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公司各层级的工作任务可结合职权范围以及公司制定的战略规划进行分配，例如报告期内，公司董事会定期审查公司在可持续发展方面的绩效，并根据结果提出建议。</w:t>
      </w:r>
    </w:p>
    <w:p w14:paraId="6ADB8889">
      <w:pPr>
        <w:numPr>
          <w:ilvl w:val="255"/>
          <w:numId w:val="0"/>
        </w:numPr>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lang w:bidi="ar"/>
        </w:rPr>
        <w:t>目标一般包括定性或定量目标。公司可以</w:t>
      </w:r>
      <w:r>
        <w:rPr>
          <w:rFonts w:hint="eastAsia" w:ascii="Times New Roman" w:hAnsi="Times New Roman" w:cs="Times New Roman"/>
          <w:szCs w:val="30"/>
        </w:rPr>
        <w:t>结合相关法律法规、《指引》要求以及自身需要，参考我国乡村全面振兴、碳达峰碳中和、</w:t>
      </w:r>
      <w:r>
        <w:rPr>
          <w:rFonts w:hint="eastAsia" w:ascii="Times New Roman" w:hAnsi="Times New Roman" w:cs="Times New Roman"/>
          <w:szCs w:val="30"/>
          <w:lang w:bidi="ar"/>
        </w:rPr>
        <w:t>联合国可持续发展目标（</w:t>
      </w:r>
      <w:r>
        <w:rPr>
          <w:rFonts w:ascii="Times New Roman" w:hAnsi="Times New Roman" w:cs="Times New Roman"/>
          <w:szCs w:val="30"/>
          <w:lang w:bidi="ar"/>
        </w:rPr>
        <w:t>SDGs</w:t>
      </w:r>
      <w:r>
        <w:rPr>
          <w:rFonts w:hint="eastAsia" w:ascii="Times New Roman" w:hAnsi="Times New Roman" w:cs="Times New Roman"/>
          <w:szCs w:val="30"/>
          <w:lang w:bidi="ar"/>
        </w:rPr>
        <w:t>）、《巴黎协定》等</w:t>
      </w:r>
      <w:r>
        <w:rPr>
          <w:rFonts w:hint="eastAsia" w:ascii="Times New Roman" w:hAnsi="Times New Roman" w:cs="Times New Roman"/>
          <w:szCs w:val="30"/>
        </w:rPr>
        <w:t>设定可持续发展相关目标。具体目标设定的要求，详见本指南“第六章</w:t>
      </w:r>
      <w:r>
        <w:rPr>
          <w:rFonts w:ascii="Times New Roman" w:hAnsi="Times New Roman" w:cs="Times New Roman"/>
          <w:szCs w:val="30"/>
        </w:rPr>
        <w:t xml:space="preserve"> </w:t>
      </w:r>
      <w:r>
        <w:rPr>
          <w:rFonts w:hint="eastAsia" w:ascii="Times New Roman" w:hAnsi="Times New Roman" w:cs="Times New Roman"/>
          <w:szCs w:val="30"/>
        </w:rPr>
        <w:t>指标与目标”。</w:t>
      </w:r>
    </w:p>
    <w:p w14:paraId="68370456">
      <w:pPr>
        <w:numPr>
          <w:ilvl w:val="255"/>
          <w:numId w:val="0"/>
        </w:numPr>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lang w:bidi="ar"/>
        </w:rPr>
        <w:t>3</w:t>
      </w:r>
      <w:r>
        <w:rPr>
          <w:rFonts w:hint="eastAsia" w:ascii="Times New Roman" w:hAnsi="Times New Roman" w:cs="Times New Roman"/>
          <w:szCs w:val="30"/>
          <w:lang w:bidi="ar"/>
        </w:rPr>
        <w:t>、专业技能及胜任能力</w:t>
      </w:r>
    </w:p>
    <w:p w14:paraId="7EE7A3F4">
      <w:pPr>
        <w:numPr>
          <w:ilvl w:val="255"/>
          <w:numId w:val="0"/>
        </w:numPr>
        <w:adjustRightInd w:val="0"/>
        <w:snapToGrid w:val="0"/>
        <w:spacing w:line="560" w:lineRule="exact"/>
        <w:ind w:firstLine="600" w:firstLineChars="200"/>
        <w:rPr>
          <w:rFonts w:ascii="Times New Roman" w:hAnsi="Times New Roman" w:eastAsia="宋体" w:cs="Times New Roman"/>
          <w:sz w:val="21"/>
        </w:rPr>
      </w:pPr>
      <w:r>
        <w:rPr>
          <w:rFonts w:hint="eastAsia" w:ascii="Times New Roman" w:hAnsi="Times New Roman" w:cs="Times New Roman"/>
          <w:szCs w:val="30"/>
          <w:lang w:bidi="ar"/>
        </w:rPr>
        <w:t>确保公司相关人员具备足够的专业技能和能力，可通过如下方式：一是选聘具有相关领域背景的专业人士，公司可以聘用具备环境或社会领域相关专业知识的独立董事，对公司开展气候变化等重要性议题研究工作提供专业支持和指导；二是制定提升相关人员可持续发展领域专业技能的培训计划、课程等。例如，邀请行业资深专家对最新</w:t>
      </w:r>
      <w:r>
        <w:rPr>
          <w:rFonts w:ascii="Times New Roman" w:hAnsi="Times New Roman" w:cs="Times New Roman"/>
          <w:szCs w:val="30"/>
          <w:lang w:bidi="ar"/>
        </w:rPr>
        <w:t>ESG</w:t>
      </w:r>
      <w:r>
        <w:rPr>
          <w:rFonts w:hint="eastAsia" w:ascii="Times New Roman" w:hAnsi="Times New Roman" w:cs="Times New Roman"/>
          <w:szCs w:val="30"/>
          <w:lang w:bidi="ar"/>
        </w:rPr>
        <w:t>政策背景、发展趋势、行业优秀实践进行培训，以确保董事会及管理层获悉</w:t>
      </w:r>
      <w:r>
        <w:rPr>
          <w:rFonts w:ascii="Times New Roman" w:hAnsi="Times New Roman" w:cs="Times New Roman"/>
          <w:szCs w:val="30"/>
          <w:lang w:bidi="ar"/>
        </w:rPr>
        <w:t>ESG</w:t>
      </w:r>
      <w:r>
        <w:rPr>
          <w:rFonts w:hint="eastAsia" w:ascii="Times New Roman" w:hAnsi="Times New Roman" w:cs="Times New Roman"/>
          <w:szCs w:val="30"/>
          <w:lang w:bidi="ar"/>
        </w:rPr>
        <w:t>最新发展情况，掌握</w:t>
      </w:r>
      <w:r>
        <w:rPr>
          <w:rFonts w:ascii="Times New Roman" w:hAnsi="Times New Roman" w:cs="Times New Roman"/>
          <w:szCs w:val="30"/>
          <w:lang w:bidi="ar"/>
        </w:rPr>
        <w:t>ESG</w:t>
      </w:r>
      <w:r>
        <w:rPr>
          <w:rFonts w:hint="eastAsia" w:ascii="Times New Roman" w:hAnsi="Times New Roman" w:cs="Times New Roman"/>
          <w:szCs w:val="30"/>
          <w:lang w:bidi="ar"/>
        </w:rPr>
        <w:t>专业知识。</w:t>
      </w:r>
      <w:bookmarkStart w:id="241" w:name="_Toc2227"/>
    </w:p>
    <w:p w14:paraId="7B731A4C">
      <w:pPr>
        <w:widowControl/>
        <w:adjustRightInd w:val="0"/>
        <w:snapToGrid w:val="0"/>
        <w:spacing w:line="560" w:lineRule="exact"/>
        <w:ind w:firstLine="600" w:firstLineChars="200"/>
        <w:jc w:val="left"/>
        <w:outlineLvl w:val="1"/>
        <w:rPr>
          <w:rFonts w:ascii="Times New Roman" w:hAnsi="Times New Roman" w:eastAsia="黑体" w:cs="Times New Roman"/>
          <w:szCs w:val="30"/>
        </w:rPr>
      </w:pPr>
      <w:bookmarkStart w:id="242" w:name="_Toc180164958"/>
      <w:bookmarkStart w:id="243" w:name="_Toc2204"/>
      <w:bookmarkStart w:id="244" w:name="_Toc3078"/>
      <w:bookmarkStart w:id="245" w:name="_Toc14894"/>
      <w:bookmarkStart w:id="246" w:name="_Toc181730958"/>
      <w:bookmarkStart w:id="247" w:name="_Toc59"/>
      <w:bookmarkStart w:id="248" w:name="_Toc187328628"/>
      <w:r>
        <w:rPr>
          <w:rFonts w:hint="eastAsia" w:ascii="Times New Roman" w:hAnsi="Times New Roman" w:eastAsia="黑体" w:cs="Times New Roman"/>
          <w:szCs w:val="30"/>
        </w:rPr>
        <w:t>二、建立可持续发展相关信息报告、监督</w:t>
      </w:r>
      <w:bookmarkEnd w:id="241"/>
      <w:r>
        <w:rPr>
          <w:rFonts w:hint="eastAsia" w:ascii="Times New Roman" w:hAnsi="Times New Roman" w:eastAsia="黑体" w:cs="Times New Roman"/>
          <w:szCs w:val="30"/>
        </w:rPr>
        <w:t>机制</w:t>
      </w:r>
      <w:bookmarkEnd w:id="242"/>
      <w:bookmarkEnd w:id="243"/>
      <w:bookmarkEnd w:id="244"/>
      <w:bookmarkEnd w:id="245"/>
      <w:bookmarkEnd w:id="246"/>
      <w:bookmarkEnd w:id="247"/>
      <w:bookmarkEnd w:id="248"/>
    </w:p>
    <w:p w14:paraId="2A0EAD70">
      <w:pPr>
        <w:widowControl/>
        <w:adjustRightInd w:val="0"/>
        <w:snapToGrid w:val="0"/>
        <w:spacing w:line="560" w:lineRule="exact"/>
        <w:ind w:firstLine="602" w:firstLineChars="200"/>
        <w:jc w:val="left"/>
        <w:outlineLvl w:val="2"/>
        <w:rPr>
          <w:rFonts w:ascii="Times New Roman" w:hAnsi="Times New Roman" w:cs="Times New Roman"/>
          <w:szCs w:val="30"/>
          <w:lang w:bidi="ar"/>
        </w:rPr>
      </w:pPr>
      <w:bookmarkStart w:id="249" w:name="_Toc27251"/>
      <w:bookmarkStart w:id="250" w:name="_Toc12426"/>
      <w:bookmarkStart w:id="251" w:name="_Toc13894"/>
      <w:bookmarkStart w:id="252" w:name="_Toc13511"/>
      <w:bookmarkStart w:id="253" w:name="_Toc180165226"/>
      <w:bookmarkStart w:id="254" w:name="_Toc181730959"/>
      <w:bookmarkStart w:id="255" w:name="_Toc187328629"/>
      <w:r>
        <w:rPr>
          <w:rFonts w:hint="eastAsia" w:ascii="Times New Roman" w:hAnsi="Times New Roman" w:cs="Times New Roman"/>
          <w:b/>
          <w:bCs/>
          <w:kern w:val="0"/>
          <w:szCs w:val="30"/>
        </w:rPr>
        <w:t>（一）关于信息报告机制</w:t>
      </w:r>
      <w:bookmarkEnd w:id="249"/>
      <w:bookmarkEnd w:id="250"/>
      <w:bookmarkEnd w:id="251"/>
      <w:bookmarkEnd w:id="252"/>
      <w:bookmarkEnd w:id="253"/>
      <w:bookmarkEnd w:id="254"/>
      <w:bookmarkEnd w:id="255"/>
    </w:p>
    <w:p w14:paraId="7775F282">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披露主体应当建立可持续发展信息的内部报告机制，明确报告方式和报告频率，保障治理架构各层级人员及时获取相关信息。</w:t>
      </w:r>
    </w:p>
    <w:p w14:paraId="49AB3EEB">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报告方式可包括专项报告、进展报表、汇报会议等方式，报告频率可依据自身情况设定，如季度、半年度、年度等。</w:t>
      </w:r>
    </w:p>
    <w:p w14:paraId="35FF2D12">
      <w:pPr>
        <w:widowControl/>
        <w:adjustRightInd w:val="0"/>
        <w:snapToGrid w:val="0"/>
        <w:spacing w:line="560" w:lineRule="exact"/>
        <w:ind w:firstLine="602" w:firstLineChars="200"/>
        <w:jc w:val="left"/>
        <w:outlineLvl w:val="2"/>
        <w:rPr>
          <w:rFonts w:ascii="Times New Roman" w:hAnsi="Times New Roman" w:cs="Times New Roman"/>
          <w:b/>
          <w:bCs/>
          <w:kern w:val="0"/>
          <w:szCs w:val="30"/>
        </w:rPr>
      </w:pPr>
      <w:bookmarkStart w:id="256" w:name="_Toc21290"/>
      <w:bookmarkStart w:id="257" w:name="_Toc180165227"/>
      <w:bookmarkStart w:id="258" w:name="_Toc1627"/>
      <w:bookmarkStart w:id="259" w:name="_Toc187328630"/>
      <w:bookmarkStart w:id="260" w:name="_Toc27438"/>
      <w:bookmarkStart w:id="261" w:name="_Toc6524"/>
      <w:bookmarkStart w:id="262" w:name="_Toc181730960"/>
      <w:r>
        <w:rPr>
          <w:rFonts w:hint="eastAsia" w:ascii="Times New Roman" w:hAnsi="Times New Roman" w:cs="Times New Roman"/>
          <w:b/>
          <w:bCs/>
          <w:kern w:val="0"/>
          <w:szCs w:val="30"/>
        </w:rPr>
        <w:t>（二）关于监督机制</w:t>
      </w:r>
      <w:bookmarkEnd w:id="256"/>
      <w:bookmarkEnd w:id="257"/>
      <w:bookmarkEnd w:id="258"/>
      <w:bookmarkEnd w:id="259"/>
      <w:bookmarkEnd w:id="260"/>
      <w:bookmarkEnd w:id="261"/>
      <w:bookmarkEnd w:id="262"/>
    </w:p>
    <w:p w14:paraId="7D19D8ED">
      <w:pPr>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lang w:bidi="ar"/>
        </w:rPr>
        <w:t>披露主体应当建立可持续发展监督机制，并披露相关机构和人员监督管理可持续发展相关目标设定、战略执行、目标实</w:t>
      </w:r>
      <w:r>
        <w:rPr>
          <w:rFonts w:hint="eastAsia" w:ascii="Times New Roman" w:hAnsi="Times New Roman" w:cs="Times New Roman"/>
          <w:szCs w:val="30"/>
        </w:rPr>
        <w:t>现进展的情况，包括内部控制制度、监督程序、监督措施及考核情况等。</w:t>
      </w:r>
    </w:p>
    <w:p w14:paraId="6C4228B3">
      <w:pPr>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rPr>
        <w:t>例如，董事会可以通过审批战略、评估风险、设定目标、监督执行、审查绩效和确保透明沟通等方式来监督公司可持续发展相关的影响、风险和机遇。</w:t>
      </w:r>
    </w:p>
    <w:p w14:paraId="7814C41C">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1</w:t>
      </w:r>
      <w:r>
        <w:rPr>
          <w:rFonts w:hint="eastAsia" w:ascii="Times New Roman" w:hAnsi="Times New Roman" w:eastAsia="黑体" w:cs="Times New Roman"/>
          <w:sz w:val="24"/>
          <w:szCs w:val="24"/>
          <w:lang w:bidi="ar"/>
        </w:rPr>
        <w:t>4：建立董事会监督机制的流程参考</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6741"/>
      </w:tblGrid>
      <w:tr w14:paraId="2025F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7D3982EA">
            <w:pPr>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步骤一</w:t>
            </w:r>
          </w:p>
        </w:tc>
        <w:tc>
          <w:tcPr>
            <w:tcW w:w="6741" w:type="dxa"/>
          </w:tcPr>
          <w:p w14:paraId="51364B63">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建立可持续发展相关治理架构：确保已就可持续发展</w:t>
            </w:r>
            <w:r>
              <w:rPr>
                <w:rFonts w:ascii="Times New Roman" w:hAnsi="Times New Roman" w:cs="Times New Roman"/>
                <w:kern w:val="0"/>
                <w:sz w:val="24"/>
                <w:szCs w:val="24"/>
                <w:lang w:bidi="ar"/>
              </w:rPr>
              <w:t>/ESG</w:t>
            </w:r>
            <w:r>
              <w:rPr>
                <w:rFonts w:hint="eastAsia" w:ascii="Times New Roman" w:hAnsi="Times New Roman" w:cs="Times New Roman"/>
                <w:kern w:val="0"/>
                <w:sz w:val="24"/>
                <w:szCs w:val="24"/>
                <w:lang w:bidi="ar"/>
              </w:rPr>
              <w:t>相关事项建立稳健的治理架构。</w:t>
            </w:r>
          </w:p>
        </w:tc>
      </w:tr>
      <w:tr w14:paraId="381DB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6A616DC0">
            <w:pPr>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步骤二</w:t>
            </w:r>
          </w:p>
        </w:tc>
        <w:tc>
          <w:tcPr>
            <w:tcW w:w="6741" w:type="dxa"/>
          </w:tcPr>
          <w:p w14:paraId="323F2D13">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评估重要性：审议公司重要性议题清单和相关的影响、风险和机遇。</w:t>
            </w:r>
          </w:p>
        </w:tc>
      </w:tr>
      <w:tr w14:paraId="54998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69BB4F2A">
            <w:pPr>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步骤三</w:t>
            </w:r>
          </w:p>
        </w:tc>
        <w:tc>
          <w:tcPr>
            <w:tcW w:w="6741" w:type="dxa"/>
          </w:tcPr>
          <w:p w14:paraId="335E8B7C">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讨论已识别的可持续发展相关影响、风险和机遇如何影响公司整体发展战略。</w:t>
            </w:r>
          </w:p>
        </w:tc>
      </w:tr>
      <w:tr w14:paraId="3A8A6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55" w:type="dxa"/>
            <w:vAlign w:val="center"/>
          </w:tcPr>
          <w:p w14:paraId="0032FD96">
            <w:pPr>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步骤四</w:t>
            </w:r>
          </w:p>
        </w:tc>
        <w:tc>
          <w:tcPr>
            <w:tcW w:w="6741" w:type="dxa"/>
          </w:tcPr>
          <w:p w14:paraId="78A3D2EA">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在业务策略及风险管理程序中加入重要风险因素。</w:t>
            </w:r>
          </w:p>
        </w:tc>
      </w:tr>
      <w:tr w14:paraId="71DDA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5C159D53">
            <w:pPr>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步骤五</w:t>
            </w:r>
          </w:p>
        </w:tc>
        <w:tc>
          <w:tcPr>
            <w:tcW w:w="6741" w:type="dxa"/>
          </w:tcPr>
          <w:p w14:paraId="5E0CC1C7">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建立内部机制以监察及监督可持续发展</w:t>
            </w:r>
            <w:r>
              <w:rPr>
                <w:rFonts w:ascii="Times New Roman" w:hAnsi="Times New Roman" w:cs="Times New Roman"/>
                <w:kern w:val="0"/>
                <w:sz w:val="24"/>
                <w:szCs w:val="24"/>
                <w:lang w:bidi="ar"/>
              </w:rPr>
              <w:t>/ESG</w:t>
            </w:r>
            <w:r>
              <w:rPr>
                <w:rFonts w:hint="eastAsia" w:ascii="Times New Roman" w:hAnsi="Times New Roman" w:cs="Times New Roman"/>
                <w:kern w:val="0"/>
                <w:sz w:val="24"/>
                <w:szCs w:val="24"/>
                <w:lang w:bidi="ar"/>
              </w:rPr>
              <w:t>相关事项的管理，例如在公司章程中明确董事会的监督责任。</w:t>
            </w:r>
          </w:p>
        </w:tc>
      </w:tr>
      <w:tr w14:paraId="1209C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6197A18A">
            <w:pPr>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步骤六</w:t>
            </w:r>
          </w:p>
        </w:tc>
        <w:tc>
          <w:tcPr>
            <w:tcW w:w="6741" w:type="dxa"/>
          </w:tcPr>
          <w:p w14:paraId="58E74CA4">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确保已适当披露所面临的可持续发展相关的影响、风险和机遇、已采取的措施及目标的完成进度；审阅公司《可持续发展报告》并向利益相关方披露。</w:t>
            </w:r>
          </w:p>
        </w:tc>
      </w:tr>
      <w:tr w14:paraId="62EFE5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14:paraId="17691C6F">
            <w:pPr>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步骤七</w:t>
            </w:r>
          </w:p>
        </w:tc>
        <w:tc>
          <w:tcPr>
            <w:tcW w:w="6741" w:type="dxa"/>
          </w:tcPr>
          <w:p w14:paraId="10AAC3C6">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在必要时更新、完善并改进。</w:t>
            </w:r>
          </w:p>
        </w:tc>
      </w:tr>
    </w:tbl>
    <w:p w14:paraId="67FD5CBD">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公司可决定是否以及如何将可持续发展相关目标纳入考核制度，明确该制度涵盖的人员范围，如高管或更广泛的员工。为激励管理层优化资源分配，实现既定的可持续发展目标，公司可考虑将管理层考核与相关可持续发展议题表现挂钩。</w:t>
      </w:r>
    </w:p>
    <w:p w14:paraId="0F65FD6D">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1</w:t>
      </w:r>
      <w:r>
        <w:rPr>
          <w:rFonts w:hint="eastAsia" w:ascii="Times New Roman" w:hAnsi="Times New Roman" w:eastAsia="黑体" w:cs="Times New Roman"/>
          <w:sz w:val="24"/>
          <w:szCs w:val="24"/>
          <w:lang w:bidi="ar"/>
        </w:rPr>
        <w:t>5：公司可持续发展</w:t>
      </w:r>
      <w:r>
        <w:rPr>
          <w:rFonts w:ascii="Times New Roman" w:hAnsi="Times New Roman" w:eastAsia="黑体" w:cs="Times New Roman"/>
          <w:sz w:val="24"/>
          <w:szCs w:val="24"/>
          <w:lang w:bidi="ar"/>
        </w:rPr>
        <w:t>/ESG</w:t>
      </w:r>
      <w:r>
        <w:rPr>
          <w:rFonts w:hint="eastAsia" w:ascii="Times New Roman" w:hAnsi="Times New Roman" w:eastAsia="黑体" w:cs="Times New Roman"/>
          <w:sz w:val="24"/>
          <w:szCs w:val="24"/>
          <w:lang w:bidi="ar"/>
        </w:rPr>
        <w:t>治理机制</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9"/>
        <w:gridCol w:w="3540"/>
        <w:gridCol w:w="3247"/>
      </w:tblGrid>
      <w:tr w14:paraId="2EEBB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 w:hRule="atLeast"/>
        </w:trPr>
        <w:tc>
          <w:tcPr>
            <w:tcW w:w="1509" w:type="dxa"/>
          </w:tcPr>
          <w:p w14:paraId="6E49C63C">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机制内容</w:t>
            </w:r>
          </w:p>
        </w:tc>
        <w:tc>
          <w:tcPr>
            <w:tcW w:w="3540" w:type="dxa"/>
          </w:tcPr>
          <w:p w14:paraId="1C7B7DD2">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具体行动</w:t>
            </w:r>
          </w:p>
        </w:tc>
        <w:tc>
          <w:tcPr>
            <w:tcW w:w="3247" w:type="dxa"/>
          </w:tcPr>
          <w:p w14:paraId="52C10E9A">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参考示例</w:t>
            </w:r>
          </w:p>
        </w:tc>
      </w:tr>
      <w:tr w14:paraId="6D921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9" w:type="dxa"/>
            <w:vAlign w:val="center"/>
          </w:tcPr>
          <w:p w14:paraId="5C8B758B">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信息报告机制</w:t>
            </w:r>
          </w:p>
        </w:tc>
        <w:tc>
          <w:tcPr>
            <w:tcW w:w="3540" w:type="dxa"/>
            <w:vAlign w:val="center"/>
          </w:tcPr>
          <w:p w14:paraId="3A2CF257">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董事会于董事会会议期间，每半年监管可持续相关影响、风险和机遇，并确保其纳入公司战略。</w:t>
            </w:r>
          </w:p>
        </w:tc>
        <w:tc>
          <w:tcPr>
            <w:tcW w:w="3247" w:type="dxa"/>
          </w:tcPr>
          <w:p w14:paraId="5D5E9396">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例如，管理层每季度向董事会报告一次可持续发展相关目标进展。</w:t>
            </w:r>
          </w:p>
        </w:tc>
      </w:tr>
      <w:tr w14:paraId="641A3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9" w:type="dxa"/>
            <w:vAlign w:val="center"/>
          </w:tcPr>
          <w:p w14:paraId="649A88D0">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监督程序及措施</w:t>
            </w:r>
          </w:p>
        </w:tc>
        <w:tc>
          <w:tcPr>
            <w:tcW w:w="3540" w:type="dxa"/>
            <w:vAlign w:val="center"/>
          </w:tcPr>
          <w:p w14:paraId="470AE39B">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监督层定期进行会面，以识别、评估、监察及报告相关议题的影响、风险和机遇。</w:t>
            </w:r>
          </w:p>
        </w:tc>
        <w:tc>
          <w:tcPr>
            <w:tcW w:w="3247" w:type="dxa"/>
          </w:tcPr>
          <w:p w14:paraId="35804596">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例如，公司可持续发展委员会共计召开多次专门会议，探讨可持续发展相关影响、风险和机遇的优先级，决议和审核公司可持续发展战略中的中期目标和绩效指标。</w:t>
            </w:r>
          </w:p>
        </w:tc>
      </w:tr>
      <w:tr w14:paraId="5B1B4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509" w:type="dxa"/>
            <w:vAlign w:val="center"/>
          </w:tcPr>
          <w:p w14:paraId="296BFAAA">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考核情况</w:t>
            </w:r>
          </w:p>
        </w:tc>
        <w:tc>
          <w:tcPr>
            <w:tcW w:w="3540" w:type="dxa"/>
            <w:vAlign w:val="center"/>
          </w:tcPr>
          <w:p w14:paraId="31FB7AAB">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公司将具体部门的可持续发展相关</w:t>
            </w:r>
            <w:r>
              <w:rPr>
                <w:rFonts w:ascii="Times New Roman" w:hAnsi="Times New Roman" w:cs="Times New Roman"/>
                <w:kern w:val="0"/>
                <w:sz w:val="24"/>
                <w:szCs w:val="24"/>
                <w:lang w:bidi="ar"/>
              </w:rPr>
              <w:t>/ESG</w:t>
            </w:r>
            <w:r>
              <w:rPr>
                <w:rFonts w:hint="eastAsia" w:ascii="Times New Roman" w:hAnsi="Times New Roman" w:cs="Times New Roman"/>
                <w:kern w:val="0"/>
                <w:sz w:val="24"/>
                <w:szCs w:val="24"/>
                <w:lang w:bidi="ar"/>
              </w:rPr>
              <w:t>目标纳入考核。</w:t>
            </w:r>
          </w:p>
        </w:tc>
        <w:tc>
          <w:tcPr>
            <w:tcW w:w="3247" w:type="dxa"/>
          </w:tcPr>
          <w:p w14:paraId="184DAAB5">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例如，将报告期内温室气体减排作为相关负责人的考核指标。</w:t>
            </w:r>
          </w:p>
        </w:tc>
      </w:tr>
    </w:tbl>
    <w:p w14:paraId="5E2BF09A">
      <w:pPr>
        <w:rPr>
          <w:rFonts w:ascii="Times New Roman" w:hAnsi="Times New Roman" w:eastAsia="黑体" w:cs="Times New Roman"/>
          <w:b/>
          <w:bCs/>
          <w:szCs w:val="30"/>
        </w:rPr>
      </w:pPr>
      <w:bookmarkStart w:id="263" w:name="_Toc180164959"/>
    </w:p>
    <w:p w14:paraId="3F4EAE15">
      <w:pPr>
        <w:ind w:firstLine="420" w:firstLineChars="200"/>
        <w:rPr>
          <w:rFonts w:ascii="Times New Roman" w:hAnsi="Times New Roman" w:eastAsia="宋体" w:cs="Times New Roman"/>
          <w:sz w:val="21"/>
        </w:rPr>
      </w:pPr>
      <w:r>
        <w:rPr>
          <w:rFonts w:ascii="Times New Roman" w:hAnsi="Times New Roman" w:eastAsia="宋体" w:cs="Times New Roman"/>
          <w:sz w:val="21"/>
        </w:rPr>
        <w:br w:type="page"/>
      </w:r>
    </w:p>
    <w:p w14:paraId="2391B445">
      <w:pPr>
        <w:adjustRightInd w:val="0"/>
        <w:snapToGrid w:val="0"/>
        <w:spacing w:before="156" w:beforeLines="50" w:line="560" w:lineRule="exact"/>
        <w:jc w:val="center"/>
        <w:outlineLvl w:val="0"/>
        <w:rPr>
          <w:rFonts w:ascii="Times New Roman" w:hAnsi="Times New Roman" w:eastAsia="宋体" w:cs="Times New Roman"/>
          <w:sz w:val="21"/>
        </w:rPr>
      </w:pPr>
      <w:bookmarkStart w:id="264" w:name="_Toc187328631"/>
      <w:bookmarkStart w:id="265" w:name="_Toc24160"/>
      <w:bookmarkStart w:id="266" w:name="_Toc9274"/>
      <w:bookmarkStart w:id="267" w:name="_Toc181730961"/>
      <w:bookmarkStart w:id="268" w:name="_Toc11177"/>
      <w:bookmarkStart w:id="269" w:name="_Toc25105"/>
      <w:r>
        <w:rPr>
          <w:rFonts w:hint="eastAsia" w:ascii="Times New Roman" w:hAnsi="Times New Roman" w:eastAsia="黑体" w:cs="Times New Roman"/>
          <w:b/>
          <w:bCs/>
          <w:szCs w:val="30"/>
        </w:rPr>
        <w:t>第四章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战略</w:t>
      </w:r>
      <w:bookmarkEnd w:id="263"/>
      <w:bookmarkEnd w:id="264"/>
      <w:bookmarkEnd w:id="265"/>
      <w:bookmarkEnd w:id="266"/>
      <w:bookmarkEnd w:id="267"/>
      <w:bookmarkEnd w:id="268"/>
      <w:bookmarkEnd w:id="269"/>
    </w:p>
    <w:p w14:paraId="0BCA999C">
      <w:pPr>
        <w:widowControl/>
        <w:adjustRightInd w:val="0"/>
        <w:snapToGrid w:val="0"/>
        <w:spacing w:line="560" w:lineRule="exact"/>
        <w:ind w:firstLine="600" w:firstLineChars="200"/>
        <w:jc w:val="left"/>
        <w:outlineLvl w:val="1"/>
        <w:rPr>
          <w:rFonts w:ascii="Times New Roman" w:hAnsi="Times New Roman" w:eastAsia="黑体" w:cs="Times New Roman"/>
          <w:szCs w:val="30"/>
        </w:rPr>
      </w:pPr>
      <w:bookmarkStart w:id="270" w:name="_Toc181730962"/>
      <w:bookmarkStart w:id="271" w:name="_Toc11396"/>
      <w:bookmarkStart w:id="272" w:name="_Toc4914"/>
      <w:bookmarkStart w:id="273" w:name="_Toc187328632"/>
      <w:bookmarkStart w:id="274" w:name="_Toc27302"/>
      <w:bookmarkStart w:id="275" w:name="_Toc2514"/>
      <w:bookmarkStart w:id="276" w:name="_Toc180164965"/>
      <w:r>
        <w:rPr>
          <w:rFonts w:hint="eastAsia" w:ascii="Times New Roman" w:hAnsi="Times New Roman" w:eastAsia="黑体" w:cs="Times New Roman"/>
          <w:szCs w:val="30"/>
        </w:rPr>
        <w:t>一、识别可持续发展相关风险和机遇对公司的影响</w:t>
      </w:r>
      <w:bookmarkEnd w:id="270"/>
      <w:bookmarkEnd w:id="271"/>
      <w:bookmarkEnd w:id="272"/>
      <w:bookmarkEnd w:id="273"/>
      <w:bookmarkEnd w:id="274"/>
      <w:bookmarkEnd w:id="275"/>
      <w:bookmarkEnd w:id="276"/>
    </w:p>
    <w:p w14:paraId="5434A676">
      <w:pPr>
        <w:widowControl/>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lang w:bidi="ar"/>
        </w:rPr>
        <w:t>1</w:t>
      </w:r>
      <w:r>
        <w:rPr>
          <w:rFonts w:hint="eastAsia" w:ascii="Times New Roman" w:hAnsi="Times New Roman" w:cs="Times New Roman"/>
          <w:szCs w:val="30"/>
          <w:lang w:bidi="ar"/>
        </w:rPr>
        <w:t>、披露主体应识别可持续发展相关风险和机遇，以及</w:t>
      </w:r>
      <w:r>
        <w:rPr>
          <w:rFonts w:hint="eastAsia" w:ascii="Times New Roman" w:hAnsi="Times New Roman" w:cs="Times New Roman"/>
          <w:szCs w:val="30"/>
        </w:rPr>
        <w:t>相关风险和机遇</w:t>
      </w:r>
      <w:r>
        <w:rPr>
          <w:rFonts w:hint="eastAsia" w:ascii="Times New Roman" w:hAnsi="Times New Roman" w:cs="Times New Roman"/>
          <w:szCs w:val="30"/>
          <w:lang w:bidi="ar"/>
        </w:rPr>
        <w:t>对公司造成重大影响的时间范围。同时，应明确对短期、中期和长期的定义，以及相关定义与公司的发展战略规划和资源分配计划的匹配情况。</w:t>
      </w:r>
    </w:p>
    <w:p w14:paraId="6C34C4A4">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公司可结合行业及公司实际情况对</w:t>
      </w:r>
      <w:r>
        <w:rPr>
          <w:rFonts w:ascii="Times New Roman" w:hAnsi="Times New Roman" w:cs="Times New Roman"/>
          <w:szCs w:val="30"/>
          <w:lang w:bidi="ar"/>
        </w:rPr>
        <w:t>“</w:t>
      </w:r>
      <w:r>
        <w:rPr>
          <w:rFonts w:hint="eastAsia" w:ascii="Times New Roman" w:hAnsi="Times New Roman" w:cs="Times New Roman"/>
          <w:szCs w:val="30"/>
          <w:lang w:bidi="ar"/>
        </w:rPr>
        <w:t>短期</w:t>
      </w:r>
      <w:r>
        <w:rPr>
          <w:rFonts w:ascii="Times New Roman" w:hAnsi="Times New Roman" w:cs="Times New Roman"/>
          <w:szCs w:val="30"/>
          <w:lang w:bidi="ar"/>
        </w:rPr>
        <w:t>”“</w:t>
      </w:r>
      <w:r>
        <w:rPr>
          <w:rFonts w:hint="eastAsia" w:ascii="Times New Roman" w:hAnsi="Times New Roman" w:cs="Times New Roman"/>
          <w:szCs w:val="30"/>
          <w:lang w:bidi="ar"/>
        </w:rPr>
        <w:t>中期</w:t>
      </w:r>
      <w:r>
        <w:rPr>
          <w:rFonts w:ascii="Times New Roman" w:hAnsi="Times New Roman" w:cs="Times New Roman"/>
          <w:szCs w:val="30"/>
          <w:lang w:bidi="ar"/>
        </w:rPr>
        <w:t>”</w:t>
      </w:r>
      <w:r>
        <w:rPr>
          <w:rFonts w:hint="eastAsia" w:ascii="Times New Roman" w:hAnsi="Times New Roman" w:cs="Times New Roman"/>
          <w:szCs w:val="30"/>
          <w:lang w:bidi="ar"/>
        </w:rPr>
        <w:t>和</w:t>
      </w:r>
      <w:r>
        <w:rPr>
          <w:rFonts w:ascii="Times New Roman" w:hAnsi="Times New Roman" w:cs="Times New Roman"/>
          <w:szCs w:val="30"/>
          <w:lang w:bidi="ar"/>
        </w:rPr>
        <w:t>“</w:t>
      </w:r>
      <w:r>
        <w:rPr>
          <w:rFonts w:hint="eastAsia" w:ascii="Times New Roman" w:hAnsi="Times New Roman" w:cs="Times New Roman"/>
          <w:szCs w:val="30"/>
          <w:lang w:bidi="ar"/>
        </w:rPr>
        <w:t>长期</w:t>
      </w:r>
      <w:r>
        <w:rPr>
          <w:rFonts w:ascii="Times New Roman" w:hAnsi="Times New Roman" w:cs="Times New Roman"/>
          <w:szCs w:val="30"/>
          <w:lang w:bidi="ar"/>
        </w:rPr>
        <w:t>”</w:t>
      </w:r>
      <w:r>
        <w:rPr>
          <w:rFonts w:hint="eastAsia" w:ascii="Times New Roman" w:hAnsi="Times New Roman" w:cs="Times New Roman"/>
          <w:szCs w:val="30"/>
          <w:lang w:bidi="ar"/>
        </w:rPr>
        <w:t>的时间范围进行定义，并与公司用于战略规划的时间范围相关联。</w:t>
      </w:r>
    </w:p>
    <w:p w14:paraId="04F6394B">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1</w:t>
      </w:r>
      <w:r>
        <w:rPr>
          <w:rFonts w:hint="eastAsia" w:ascii="Times New Roman" w:hAnsi="Times New Roman" w:eastAsia="黑体" w:cs="Times New Roman"/>
          <w:sz w:val="24"/>
          <w:szCs w:val="24"/>
          <w:lang w:bidi="ar"/>
        </w:rPr>
        <w:t>6：短中长期的定义</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3"/>
        <w:gridCol w:w="6883"/>
      </w:tblGrid>
      <w:tr w14:paraId="3E496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3" w:type="dxa"/>
            <w:vAlign w:val="center"/>
          </w:tcPr>
          <w:p w14:paraId="6827405C">
            <w:pPr>
              <w:widowControl/>
              <w:adjustRightInd w:val="0"/>
              <w:snapToGrid w:val="0"/>
              <w:spacing w:line="440" w:lineRule="exact"/>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短期</w:t>
            </w:r>
          </w:p>
        </w:tc>
        <w:tc>
          <w:tcPr>
            <w:tcW w:w="6883" w:type="dxa"/>
            <w:vAlign w:val="center"/>
          </w:tcPr>
          <w:p w14:paraId="6228E792">
            <w:pPr>
              <w:widowControl/>
              <w:adjustRightInd w:val="0"/>
              <w:snapToGrid w:val="0"/>
              <w:spacing w:line="440" w:lineRule="exact"/>
              <w:jc w:val="center"/>
              <w:rPr>
                <w:rFonts w:ascii="Times New Roman" w:hAnsi="Times New Roman" w:cs="Times New Roman"/>
                <w:bCs/>
                <w:kern w:val="0"/>
                <w:sz w:val="24"/>
                <w:szCs w:val="24"/>
                <w:lang w:bidi="ar"/>
              </w:rPr>
            </w:pPr>
            <w:r>
              <w:rPr>
                <w:rFonts w:hint="eastAsia" w:ascii="Times New Roman" w:hAnsi="Times New Roman" w:cs="Times New Roman"/>
                <w:bCs/>
                <w:kern w:val="0"/>
                <w:sz w:val="24"/>
                <w:szCs w:val="24"/>
                <w:lang w:bidi="ar"/>
              </w:rPr>
              <w:t>一般是指公司可持续信息报告期间结束后</w:t>
            </w:r>
            <w:r>
              <w:rPr>
                <w:rFonts w:ascii="Times New Roman" w:hAnsi="Times New Roman" w:cs="Times New Roman"/>
                <w:bCs/>
                <w:kern w:val="0"/>
                <w:sz w:val="24"/>
                <w:szCs w:val="24"/>
                <w:lang w:bidi="ar"/>
              </w:rPr>
              <w:t>1</w:t>
            </w:r>
            <w:r>
              <w:rPr>
                <w:rFonts w:hint="eastAsia" w:ascii="Times New Roman" w:hAnsi="Times New Roman" w:cs="Times New Roman"/>
                <w:bCs/>
                <w:kern w:val="0"/>
                <w:sz w:val="24"/>
                <w:szCs w:val="24"/>
                <w:lang w:bidi="ar"/>
              </w:rPr>
              <w:t>年以内（含</w:t>
            </w:r>
            <w:r>
              <w:rPr>
                <w:rFonts w:ascii="Times New Roman" w:hAnsi="Times New Roman" w:cs="Times New Roman"/>
                <w:bCs/>
                <w:kern w:val="0"/>
                <w:sz w:val="24"/>
                <w:szCs w:val="24"/>
                <w:lang w:bidi="ar"/>
              </w:rPr>
              <w:t>1</w:t>
            </w:r>
            <w:r>
              <w:rPr>
                <w:rFonts w:hint="eastAsia" w:ascii="Times New Roman" w:hAnsi="Times New Roman" w:cs="Times New Roman"/>
                <w:bCs/>
                <w:kern w:val="0"/>
                <w:sz w:val="24"/>
                <w:szCs w:val="24"/>
                <w:lang w:bidi="ar"/>
              </w:rPr>
              <w:t>年）</w:t>
            </w:r>
          </w:p>
        </w:tc>
      </w:tr>
      <w:tr w14:paraId="3CB19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3" w:type="dxa"/>
            <w:vAlign w:val="center"/>
          </w:tcPr>
          <w:p w14:paraId="5AFA7ED8">
            <w:pPr>
              <w:widowControl/>
              <w:adjustRightInd w:val="0"/>
              <w:snapToGrid w:val="0"/>
              <w:spacing w:line="440" w:lineRule="exact"/>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中期</w:t>
            </w:r>
          </w:p>
        </w:tc>
        <w:tc>
          <w:tcPr>
            <w:tcW w:w="6883" w:type="dxa"/>
            <w:vAlign w:val="center"/>
          </w:tcPr>
          <w:p w14:paraId="00A33457">
            <w:pPr>
              <w:widowControl/>
              <w:adjustRightInd w:val="0"/>
              <w:snapToGrid w:val="0"/>
              <w:spacing w:line="440" w:lineRule="exact"/>
              <w:jc w:val="center"/>
              <w:rPr>
                <w:rFonts w:ascii="Times New Roman" w:hAnsi="Times New Roman" w:cs="Times New Roman"/>
                <w:bCs/>
                <w:kern w:val="0"/>
                <w:sz w:val="24"/>
                <w:szCs w:val="24"/>
                <w:lang w:bidi="ar"/>
              </w:rPr>
            </w:pPr>
            <w:r>
              <w:rPr>
                <w:rFonts w:hint="eastAsia" w:ascii="Times New Roman" w:hAnsi="Times New Roman" w:cs="Times New Roman"/>
                <w:bCs/>
                <w:kern w:val="0"/>
                <w:sz w:val="24"/>
                <w:szCs w:val="24"/>
                <w:lang w:bidi="ar"/>
              </w:rPr>
              <w:t>一般是指公司可持续信息报告期间结束后</w:t>
            </w:r>
            <w:r>
              <w:rPr>
                <w:rFonts w:ascii="Times New Roman" w:hAnsi="Times New Roman" w:cs="Times New Roman"/>
                <w:bCs/>
                <w:kern w:val="0"/>
                <w:sz w:val="24"/>
                <w:szCs w:val="24"/>
                <w:lang w:bidi="ar"/>
              </w:rPr>
              <w:t>1</w:t>
            </w:r>
            <w:r>
              <w:rPr>
                <w:rFonts w:hint="eastAsia" w:ascii="Times New Roman" w:hAnsi="Times New Roman" w:cs="Times New Roman"/>
                <w:bCs/>
                <w:kern w:val="0"/>
                <w:sz w:val="24"/>
                <w:szCs w:val="24"/>
                <w:lang w:bidi="ar"/>
              </w:rPr>
              <w:t>年至</w:t>
            </w:r>
            <w:r>
              <w:rPr>
                <w:rFonts w:ascii="Times New Roman" w:hAnsi="Times New Roman" w:cs="Times New Roman"/>
                <w:bCs/>
                <w:kern w:val="0"/>
                <w:sz w:val="24"/>
                <w:szCs w:val="24"/>
                <w:lang w:bidi="ar"/>
              </w:rPr>
              <w:t>5</w:t>
            </w:r>
            <w:r>
              <w:rPr>
                <w:rFonts w:hint="eastAsia" w:ascii="Times New Roman" w:hAnsi="Times New Roman" w:cs="Times New Roman"/>
                <w:bCs/>
                <w:kern w:val="0"/>
                <w:sz w:val="24"/>
                <w:szCs w:val="24"/>
                <w:lang w:bidi="ar"/>
              </w:rPr>
              <w:t>年（含</w:t>
            </w:r>
            <w:r>
              <w:rPr>
                <w:rFonts w:ascii="Times New Roman" w:hAnsi="Times New Roman" w:cs="Times New Roman"/>
                <w:bCs/>
                <w:kern w:val="0"/>
                <w:sz w:val="24"/>
                <w:szCs w:val="24"/>
                <w:lang w:bidi="ar"/>
              </w:rPr>
              <w:t>5</w:t>
            </w:r>
            <w:r>
              <w:rPr>
                <w:rFonts w:hint="eastAsia" w:ascii="Times New Roman" w:hAnsi="Times New Roman" w:cs="Times New Roman"/>
                <w:bCs/>
                <w:kern w:val="0"/>
                <w:sz w:val="24"/>
                <w:szCs w:val="24"/>
                <w:lang w:bidi="ar"/>
              </w:rPr>
              <w:t>年）</w:t>
            </w:r>
          </w:p>
        </w:tc>
      </w:tr>
      <w:tr w14:paraId="757FF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3" w:type="dxa"/>
            <w:vAlign w:val="center"/>
          </w:tcPr>
          <w:p w14:paraId="78B9555C">
            <w:pPr>
              <w:widowControl/>
              <w:adjustRightInd w:val="0"/>
              <w:snapToGrid w:val="0"/>
              <w:spacing w:line="440" w:lineRule="exact"/>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长期</w:t>
            </w:r>
          </w:p>
        </w:tc>
        <w:tc>
          <w:tcPr>
            <w:tcW w:w="6883" w:type="dxa"/>
            <w:vAlign w:val="center"/>
          </w:tcPr>
          <w:p w14:paraId="25A45523">
            <w:pPr>
              <w:widowControl/>
              <w:adjustRightInd w:val="0"/>
              <w:snapToGrid w:val="0"/>
              <w:spacing w:line="440" w:lineRule="exact"/>
              <w:jc w:val="center"/>
              <w:rPr>
                <w:rFonts w:ascii="Times New Roman" w:hAnsi="Times New Roman" w:cs="Times New Roman"/>
                <w:bCs/>
                <w:kern w:val="0"/>
                <w:sz w:val="24"/>
                <w:szCs w:val="24"/>
                <w:lang w:bidi="ar"/>
              </w:rPr>
            </w:pPr>
            <w:r>
              <w:rPr>
                <w:rFonts w:hint="eastAsia" w:ascii="Times New Roman" w:hAnsi="Times New Roman" w:cs="Times New Roman"/>
                <w:bCs/>
                <w:kern w:val="0"/>
                <w:sz w:val="24"/>
                <w:szCs w:val="24"/>
                <w:lang w:bidi="ar"/>
              </w:rPr>
              <w:t>一般是指公司可持续信息报告期间结束后</w:t>
            </w:r>
            <w:r>
              <w:rPr>
                <w:rFonts w:ascii="Times New Roman" w:hAnsi="Times New Roman" w:cs="Times New Roman"/>
                <w:bCs/>
                <w:kern w:val="0"/>
                <w:sz w:val="24"/>
                <w:szCs w:val="24"/>
                <w:lang w:bidi="ar"/>
              </w:rPr>
              <w:t>5</w:t>
            </w:r>
            <w:r>
              <w:rPr>
                <w:rFonts w:hint="eastAsia" w:ascii="Times New Roman" w:hAnsi="Times New Roman" w:cs="Times New Roman"/>
                <w:bCs/>
                <w:kern w:val="0"/>
                <w:sz w:val="24"/>
                <w:szCs w:val="24"/>
                <w:lang w:bidi="ar"/>
              </w:rPr>
              <w:t>年以上</w:t>
            </w:r>
          </w:p>
        </w:tc>
      </w:tr>
    </w:tbl>
    <w:p w14:paraId="55779F6C">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短期、中期和长期的时间范围可能因公司而异，并取决于众多因素，包括行业特征、投资周期和资本配置、相关政策的法律管辖区域、风险或机遇的性质、资产使用寿命等。</w:t>
      </w:r>
    </w:p>
    <w:p w14:paraId="668E2209">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1</w:t>
      </w:r>
      <w:r>
        <w:rPr>
          <w:rFonts w:hint="eastAsia" w:ascii="Times New Roman" w:hAnsi="Times New Roman" w:eastAsia="黑体" w:cs="Times New Roman"/>
          <w:sz w:val="24"/>
          <w:szCs w:val="24"/>
          <w:lang w:bidi="ar"/>
        </w:rPr>
        <w:t>7：评估影响的时间范围的因素</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3087"/>
        <w:gridCol w:w="3371"/>
      </w:tblGrid>
      <w:tr w14:paraId="6FE8D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5A479E2A">
            <w:pPr>
              <w:widowControl/>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类型</w:t>
            </w:r>
          </w:p>
        </w:tc>
        <w:tc>
          <w:tcPr>
            <w:tcW w:w="3087" w:type="dxa"/>
            <w:vAlign w:val="center"/>
          </w:tcPr>
          <w:p w14:paraId="44A5FABF">
            <w:pPr>
              <w:widowControl/>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说明</w:t>
            </w:r>
          </w:p>
        </w:tc>
        <w:tc>
          <w:tcPr>
            <w:tcW w:w="3371" w:type="dxa"/>
            <w:vAlign w:val="center"/>
          </w:tcPr>
          <w:p w14:paraId="2C7706C8">
            <w:pPr>
              <w:widowControl/>
              <w:adjustRightInd w:val="0"/>
              <w:snapToGrid w:val="0"/>
              <w:jc w:val="center"/>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示例</w:t>
            </w:r>
          </w:p>
        </w:tc>
      </w:tr>
      <w:tr w14:paraId="7289A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18A3F7AB">
            <w:pPr>
              <w:widowControl/>
              <w:adjustRightInd w:val="0"/>
              <w:snapToGrid w:val="0"/>
              <w:jc w:val="left"/>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行业特征</w:t>
            </w:r>
          </w:p>
        </w:tc>
        <w:tc>
          <w:tcPr>
            <w:tcW w:w="3087" w:type="dxa"/>
            <w:vAlign w:val="center"/>
          </w:tcPr>
          <w:p w14:paraId="3EEFB93B">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公司可结合所在行业的现金流特征、投资和业务周期来判断时间范围。</w:t>
            </w:r>
          </w:p>
        </w:tc>
        <w:tc>
          <w:tcPr>
            <w:tcW w:w="3371" w:type="dxa"/>
            <w:vAlign w:val="center"/>
          </w:tcPr>
          <w:p w14:paraId="3A2681C7">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例如房地产行业或采用较长的时间范围，因其地产及基础设施项目规划存续时间长，而部分消费类行业的规划时间可能较短。</w:t>
            </w:r>
          </w:p>
        </w:tc>
      </w:tr>
      <w:tr w14:paraId="36E0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838" w:type="dxa"/>
            <w:vAlign w:val="center"/>
          </w:tcPr>
          <w:p w14:paraId="30518E79">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投资周期和资本配置</w:t>
            </w:r>
          </w:p>
        </w:tc>
        <w:tc>
          <w:tcPr>
            <w:tcW w:w="3087" w:type="dxa"/>
            <w:vAlign w:val="center"/>
          </w:tcPr>
          <w:p w14:paraId="17102801">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公司可考虑其惯常的投资持有期限，并根据投资周期调整时间范围。</w:t>
            </w:r>
          </w:p>
        </w:tc>
        <w:tc>
          <w:tcPr>
            <w:tcW w:w="3371" w:type="dxa"/>
            <w:vAlign w:val="center"/>
          </w:tcPr>
          <w:p w14:paraId="663C0FD6">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例如一家投资公司通常持有其股权投资项目的期限为</w:t>
            </w:r>
            <w:r>
              <w:rPr>
                <w:rFonts w:ascii="Times New Roman" w:hAnsi="Times New Roman" w:cs="Times New Roman"/>
                <w:kern w:val="0"/>
                <w:sz w:val="24"/>
                <w:szCs w:val="24"/>
                <w:lang w:bidi="ar"/>
              </w:rPr>
              <w:t>3</w:t>
            </w:r>
            <w:r>
              <w:rPr>
                <w:rFonts w:hint="eastAsia" w:ascii="Times New Roman" w:hAnsi="Times New Roman" w:cs="Times New Roman"/>
                <w:kern w:val="0"/>
                <w:sz w:val="24"/>
                <w:szCs w:val="24"/>
                <w:lang w:bidi="ar"/>
              </w:rPr>
              <w:t>年至</w:t>
            </w:r>
            <w:r>
              <w:rPr>
                <w:rFonts w:ascii="Times New Roman" w:hAnsi="Times New Roman" w:cs="Times New Roman"/>
                <w:kern w:val="0"/>
                <w:sz w:val="24"/>
                <w:szCs w:val="24"/>
                <w:lang w:bidi="ar"/>
              </w:rPr>
              <w:t>5</w:t>
            </w:r>
            <w:r>
              <w:rPr>
                <w:rFonts w:hint="eastAsia" w:ascii="Times New Roman" w:hAnsi="Times New Roman" w:cs="Times New Roman"/>
                <w:kern w:val="0"/>
                <w:sz w:val="24"/>
                <w:szCs w:val="24"/>
                <w:lang w:bidi="ar"/>
              </w:rPr>
              <w:t>年（中期投资周期），可根据中期投资周期调整时间范围。</w:t>
            </w:r>
          </w:p>
        </w:tc>
      </w:tr>
      <w:tr w14:paraId="650ED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trPr>
        <w:tc>
          <w:tcPr>
            <w:tcW w:w="1838" w:type="dxa"/>
            <w:vAlign w:val="center"/>
          </w:tcPr>
          <w:p w14:paraId="4CA9E0AB">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相关政策的法律管辖区域</w:t>
            </w:r>
          </w:p>
        </w:tc>
        <w:tc>
          <w:tcPr>
            <w:tcW w:w="3087" w:type="dxa"/>
            <w:vAlign w:val="center"/>
          </w:tcPr>
          <w:p w14:paraId="2EC375DE">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以中国内地作为主要运营地的公司，其时间范围设计可匹配中国碳达峰碳中和目标的时间规划。</w:t>
            </w:r>
          </w:p>
        </w:tc>
        <w:tc>
          <w:tcPr>
            <w:tcW w:w="3371" w:type="dxa"/>
            <w:vAlign w:val="center"/>
          </w:tcPr>
          <w:p w14:paraId="6F2DAF02">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例如公司在</w:t>
            </w:r>
            <w:r>
              <w:rPr>
                <w:rFonts w:ascii="Times New Roman" w:hAnsi="Times New Roman" w:cs="Times New Roman"/>
                <w:kern w:val="0"/>
                <w:sz w:val="24"/>
                <w:szCs w:val="24"/>
                <w:lang w:bidi="ar"/>
              </w:rPr>
              <w:t>2030</w:t>
            </w:r>
            <w:r>
              <w:rPr>
                <w:rFonts w:hint="eastAsia" w:ascii="Times New Roman" w:hAnsi="Times New Roman" w:cs="Times New Roman"/>
                <w:kern w:val="0"/>
                <w:sz w:val="24"/>
                <w:szCs w:val="24"/>
                <w:lang w:bidi="ar"/>
              </w:rPr>
              <w:t>年之前实现</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碳达峰</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w:t>
            </w:r>
            <w:r>
              <w:rPr>
                <w:rFonts w:ascii="Times New Roman" w:hAnsi="Times New Roman" w:cs="Times New Roman"/>
                <w:kern w:val="0"/>
                <w:sz w:val="24"/>
                <w:szCs w:val="24"/>
                <w:lang w:bidi="ar"/>
              </w:rPr>
              <w:t>2060</w:t>
            </w:r>
            <w:r>
              <w:rPr>
                <w:rFonts w:hint="eastAsia" w:ascii="Times New Roman" w:hAnsi="Times New Roman" w:cs="Times New Roman"/>
                <w:kern w:val="0"/>
                <w:sz w:val="24"/>
                <w:szCs w:val="24"/>
                <w:lang w:bidi="ar"/>
              </w:rPr>
              <w:t>年之前实现</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碳中和</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w:t>
            </w:r>
          </w:p>
        </w:tc>
      </w:tr>
      <w:tr w14:paraId="5D628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3D473BEC">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风险或机遇的性质</w:t>
            </w:r>
          </w:p>
        </w:tc>
        <w:tc>
          <w:tcPr>
            <w:tcW w:w="3087" w:type="dxa"/>
            <w:vAlign w:val="center"/>
          </w:tcPr>
          <w:p w14:paraId="375A1977">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公司可根据识别出的风险或机遇类型来确定时间范围。</w:t>
            </w:r>
          </w:p>
        </w:tc>
        <w:tc>
          <w:tcPr>
            <w:tcW w:w="3371" w:type="dxa"/>
            <w:vAlign w:val="center"/>
          </w:tcPr>
          <w:p w14:paraId="41051E8A">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例如海平面上升及流域水资源短缺等气候相关的长期物理风险的影响，可能需要较长的时间范围。</w:t>
            </w:r>
          </w:p>
        </w:tc>
      </w:tr>
      <w:tr w14:paraId="24943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vAlign w:val="center"/>
          </w:tcPr>
          <w:p w14:paraId="40BACEE3">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资产使用寿命</w:t>
            </w:r>
          </w:p>
        </w:tc>
        <w:tc>
          <w:tcPr>
            <w:tcW w:w="3087" w:type="dxa"/>
            <w:vAlign w:val="center"/>
          </w:tcPr>
          <w:p w14:paraId="565D0F00">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持有资产的公司可考虑设立匹配其资产使用寿命的时间范围。</w:t>
            </w:r>
          </w:p>
        </w:tc>
        <w:tc>
          <w:tcPr>
            <w:tcW w:w="3371" w:type="dxa"/>
            <w:vAlign w:val="center"/>
          </w:tcPr>
          <w:p w14:paraId="4A30029B">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公司可结合资产折旧的最低年限来判断。例如电子设备最低折旧年限为</w:t>
            </w:r>
            <w:r>
              <w:rPr>
                <w:rFonts w:ascii="Times New Roman" w:hAnsi="Times New Roman" w:cs="Times New Roman"/>
                <w:kern w:val="0"/>
                <w:sz w:val="24"/>
                <w:szCs w:val="24"/>
                <w:lang w:bidi="ar"/>
              </w:rPr>
              <w:t>3</w:t>
            </w:r>
            <w:r>
              <w:rPr>
                <w:rFonts w:hint="eastAsia" w:ascii="Times New Roman" w:hAnsi="Times New Roman" w:cs="Times New Roman"/>
                <w:kern w:val="0"/>
                <w:sz w:val="24"/>
                <w:szCs w:val="24"/>
                <w:lang w:bidi="ar"/>
              </w:rPr>
              <w:t>年；房屋、建筑物等最低折旧年限为</w:t>
            </w:r>
            <w:r>
              <w:rPr>
                <w:rFonts w:ascii="Times New Roman" w:hAnsi="Times New Roman" w:cs="Times New Roman"/>
                <w:kern w:val="0"/>
                <w:sz w:val="24"/>
                <w:szCs w:val="24"/>
                <w:lang w:bidi="ar"/>
              </w:rPr>
              <w:t>20</w:t>
            </w:r>
            <w:r>
              <w:rPr>
                <w:rFonts w:hint="eastAsia" w:ascii="Times New Roman" w:hAnsi="Times New Roman" w:cs="Times New Roman"/>
                <w:kern w:val="0"/>
                <w:sz w:val="24"/>
                <w:szCs w:val="24"/>
                <w:lang w:bidi="ar"/>
              </w:rPr>
              <w:t>年。</w:t>
            </w:r>
          </w:p>
        </w:tc>
      </w:tr>
    </w:tbl>
    <w:p w14:paraId="31EF48E6">
      <w:pPr>
        <w:widowControl/>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lang w:bidi="ar"/>
        </w:rPr>
        <w:t>2</w:t>
      </w:r>
      <w:r>
        <w:rPr>
          <w:rFonts w:hint="eastAsia" w:ascii="Times New Roman" w:hAnsi="Times New Roman" w:cs="Times New Roman"/>
          <w:szCs w:val="30"/>
          <w:lang w:bidi="ar"/>
        </w:rPr>
        <w:t>、披露主体可以结合实际披露可持续发展相关风险和机遇在当期对公司商业模式、主要供应商和其他利益相关方产生的影响，以及相关风险和机遇集中的区域、设施或资产类型等，并评估和披露未来的影响。同时，披露主体应当充分识别、评估公司的采购、生产、销售、服务、内部管理、对外投资、社会活动等对经济、社会、环境是否存在重大影响。</w:t>
      </w:r>
    </w:p>
    <w:p w14:paraId="0AEF3930">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关于可持续相关影响、风险和机遇识别及评估结果详见“第二章</w:t>
      </w:r>
      <w:r>
        <w:rPr>
          <w:rFonts w:ascii="Times New Roman" w:hAnsi="Times New Roman" w:cs="Times New Roman"/>
          <w:szCs w:val="30"/>
          <w:lang w:bidi="ar"/>
        </w:rPr>
        <w:t xml:space="preserve"> </w:t>
      </w:r>
      <w:r>
        <w:rPr>
          <w:rFonts w:hint="eastAsia" w:ascii="Times New Roman" w:hAnsi="Times New Roman" w:cs="Times New Roman"/>
          <w:szCs w:val="30"/>
          <w:lang w:bidi="ar"/>
        </w:rPr>
        <w:t>重要性议题识别与分析”。</w:t>
      </w:r>
    </w:p>
    <w:p w14:paraId="56C85162">
      <w:pPr>
        <w:widowControl/>
        <w:adjustRightInd w:val="0"/>
        <w:snapToGrid w:val="0"/>
        <w:spacing w:line="560" w:lineRule="exact"/>
        <w:ind w:firstLine="600" w:firstLineChars="200"/>
        <w:jc w:val="left"/>
        <w:outlineLvl w:val="1"/>
        <w:rPr>
          <w:rFonts w:ascii="Times New Roman" w:hAnsi="Times New Roman" w:eastAsia="黑体" w:cs="Times New Roman"/>
          <w:szCs w:val="30"/>
        </w:rPr>
      </w:pPr>
      <w:bookmarkStart w:id="277" w:name="_Toc187328633"/>
      <w:bookmarkStart w:id="278" w:name="_Toc181730963"/>
      <w:bookmarkStart w:id="279" w:name="_Toc30310"/>
      <w:bookmarkStart w:id="280" w:name="_Toc561"/>
      <w:bookmarkStart w:id="281" w:name="_Toc180164966"/>
      <w:bookmarkStart w:id="282" w:name="_Toc13104"/>
      <w:bookmarkStart w:id="283" w:name="_Toc12288"/>
      <w:bookmarkStart w:id="284" w:name="_Toc12854"/>
      <w:r>
        <w:rPr>
          <w:rFonts w:hint="eastAsia" w:ascii="Times New Roman" w:hAnsi="Times New Roman" w:eastAsia="黑体" w:cs="Times New Roman"/>
          <w:szCs w:val="30"/>
        </w:rPr>
        <w:t>二、制定应对“影响、风险和机遇”的策略、方法和规划</w:t>
      </w:r>
      <w:bookmarkEnd w:id="277"/>
      <w:bookmarkEnd w:id="278"/>
      <w:bookmarkEnd w:id="279"/>
      <w:bookmarkEnd w:id="280"/>
      <w:bookmarkEnd w:id="281"/>
      <w:bookmarkEnd w:id="282"/>
      <w:bookmarkEnd w:id="283"/>
    </w:p>
    <w:p w14:paraId="490F0F84">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披露主体应当分析可持续发展相关影响、风险和机遇对公司战略和决策的影响，包括但不限于：</w:t>
      </w:r>
    </w:p>
    <w:p w14:paraId="15FCC3FD">
      <w:pPr>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lang w:bidi="ar"/>
        </w:rPr>
        <w:t>1</w:t>
      </w:r>
      <w:r>
        <w:rPr>
          <w:rFonts w:hint="eastAsia" w:ascii="Times New Roman" w:hAnsi="Times New Roman" w:cs="Times New Roman"/>
          <w:szCs w:val="30"/>
          <w:lang w:bidi="ar"/>
        </w:rPr>
        <w:t>、公司在战略制定和重大决策过程中为应对可持续发展相关影响、风险和机遇所采用的方法，如战略决策机制、管理办法等。</w:t>
      </w:r>
    </w:p>
    <w:p w14:paraId="108A9EB6">
      <w:pPr>
        <w:adjustRightInd w:val="0"/>
        <w:snapToGrid w:val="0"/>
        <w:spacing w:line="560" w:lineRule="exact"/>
        <w:ind w:firstLine="600" w:firstLineChars="200"/>
        <w:rPr>
          <w:rFonts w:ascii="Times New Roman" w:hAnsi="Times New Roman" w:cs="Times New Roman"/>
          <w:szCs w:val="30"/>
          <w:lang w:bidi="ar"/>
        </w:rPr>
      </w:pPr>
      <w:r>
        <w:rPr>
          <w:rFonts w:ascii="Times New Roman" w:hAnsi="Times New Roman" w:cs="Times New Roman"/>
          <w:szCs w:val="30"/>
          <w:lang w:bidi="ar"/>
        </w:rPr>
        <w:t>2</w:t>
      </w:r>
      <w:r>
        <w:rPr>
          <w:rFonts w:hint="eastAsia" w:ascii="Times New Roman" w:hAnsi="Times New Roman" w:cs="Times New Roman"/>
          <w:szCs w:val="30"/>
          <w:lang w:bidi="ar"/>
        </w:rPr>
        <w:t>、公司为实现相关战略目标而制定的计划以及衡量计划进展的定性、定量信息。</w:t>
      </w:r>
    </w:p>
    <w:p w14:paraId="595A9669">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应对方法可以包括：公司已经或将来计划在其战略决策纳入可持续发展相关影响、风险及机遇信息；公司计划如何实现其所设定的可持续发展相关的目标；为应对相关影响、风险和机遇就公司业务模式（包括资源分配等）所作出的调整；已经或预期将进行的适应或减缓措施等。</w:t>
      </w:r>
    </w:p>
    <w:p w14:paraId="22D9CCA1">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公司可以将公司可持续发展目标融入公司战略，并由董事会审议批准，转化为执行计划并分配对应资源。管理层通过定期监督与评估确保战略实施效果，并根据反馈调整计划，以应对未来挑战并促进可持续发展。</w:t>
      </w:r>
    </w:p>
    <w:p w14:paraId="6E521771">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公司对可持续发展相关的影响、风险和机遇的评估、判断情况详见“第二章</w:t>
      </w:r>
      <w:r>
        <w:rPr>
          <w:rFonts w:ascii="Times New Roman" w:hAnsi="Times New Roman" w:cs="Times New Roman"/>
          <w:szCs w:val="30"/>
          <w:lang w:bidi="ar"/>
        </w:rPr>
        <w:t xml:space="preserve"> </w:t>
      </w:r>
      <w:r>
        <w:rPr>
          <w:rFonts w:hint="eastAsia" w:ascii="Times New Roman" w:hAnsi="Times New Roman" w:cs="Times New Roman"/>
          <w:szCs w:val="30"/>
          <w:lang w:bidi="ar"/>
        </w:rPr>
        <w:t>重要性议题识别与分析”，为衡量计划进展制定的定性、定量信息详见“第六章</w:t>
      </w:r>
      <w:r>
        <w:rPr>
          <w:rFonts w:ascii="Times New Roman" w:hAnsi="Times New Roman" w:cs="Times New Roman"/>
          <w:szCs w:val="30"/>
          <w:lang w:bidi="ar"/>
        </w:rPr>
        <w:t xml:space="preserve"> </w:t>
      </w:r>
      <w:r>
        <w:rPr>
          <w:rFonts w:hint="eastAsia" w:ascii="Times New Roman" w:hAnsi="Times New Roman" w:cs="Times New Roman"/>
          <w:szCs w:val="30"/>
          <w:lang w:bidi="ar"/>
        </w:rPr>
        <w:t>指标与目标”。</w:t>
      </w:r>
    </w:p>
    <w:p w14:paraId="2629A1D7">
      <w:pPr>
        <w:widowControl/>
        <w:adjustRightInd w:val="0"/>
        <w:snapToGrid w:val="0"/>
        <w:spacing w:line="560" w:lineRule="exact"/>
        <w:ind w:firstLine="600" w:firstLineChars="200"/>
        <w:jc w:val="left"/>
        <w:outlineLvl w:val="1"/>
        <w:rPr>
          <w:rFonts w:ascii="Times New Roman" w:hAnsi="Times New Roman" w:eastAsia="黑体" w:cs="Times New Roman"/>
          <w:szCs w:val="30"/>
        </w:rPr>
      </w:pPr>
      <w:bookmarkStart w:id="285" w:name="_Toc8577"/>
      <w:bookmarkStart w:id="286" w:name="_Toc187328634"/>
      <w:bookmarkStart w:id="287" w:name="_Toc180164967"/>
      <w:bookmarkStart w:id="288" w:name="_Toc24301"/>
      <w:bookmarkStart w:id="289" w:name="_Toc21476"/>
      <w:bookmarkStart w:id="290" w:name="_Toc181730964"/>
      <w:bookmarkStart w:id="291" w:name="_Toc30876"/>
      <w:r>
        <w:rPr>
          <w:rFonts w:hint="eastAsia" w:ascii="Times New Roman" w:hAnsi="Times New Roman" w:eastAsia="黑体" w:cs="Times New Roman"/>
          <w:szCs w:val="30"/>
        </w:rPr>
        <w:t>三、评估当期和预期财务影响</w:t>
      </w:r>
      <w:bookmarkEnd w:id="284"/>
      <w:bookmarkEnd w:id="285"/>
      <w:bookmarkEnd w:id="286"/>
      <w:bookmarkEnd w:id="287"/>
      <w:bookmarkEnd w:id="288"/>
      <w:bookmarkEnd w:id="289"/>
      <w:bookmarkEnd w:id="290"/>
      <w:bookmarkEnd w:id="291"/>
    </w:p>
    <w:p w14:paraId="28CDA8C1">
      <w:pPr>
        <w:widowControl/>
        <w:adjustRightInd w:val="0"/>
        <w:snapToGrid w:val="0"/>
        <w:spacing w:line="560" w:lineRule="exact"/>
        <w:ind w:firstLine="600" w:firstLineChars="200"/>
        <w:jc w:val="left"/>
        <w:rPr>
          <w:rFonts w:ascii="Times New Roman" w:hAnsi="Times New Roman" w:cs="Times New Roman"/>
          <w:szCs w:val="30"/>
          <w:lang w:bidi="ar"/>
        </w:rPr>
      </w:pPr>
      <w:r>
        <w:rPr>
          <w:rFonts w:ascii="Times New Roman" w:hAnsi="Times New Roman" w:cs="Times New Roman"/>
          <w:szCs w:val="30"/>
          <w:lang w:bidi="ar"/>
        </w:rPr>
        <w:t>1</w:t>
      </w:r>
      <w:r>
        <w:rPr>
          <w:rFonts w:hint="eastAsia" w:ascii="Times New Roman" w:hAnsi="Times New Roman" w:cs="Times New Roman"/>
          <w:szCs w:val="30"/>
          <w:lang w:bidi="ar"/>
        </w:rPr>
        <w:t>、披露主体应当分析可持续发展相关风险和机遇如何影响公司当期财务状况、经营成果、现金流，以及是否会对公司下一年度财务状况、经营成果、现金流产生重大影响。</w:t>
      </w:r>
    </w:p>
    <w:p w14:paraId="1DA310DA">
      <w:pPr>
        <w:widowControl/>
        <w:adjustRightInd w:val="0"/>
        <w:snapToGrid w:val="0"/>
        <w:spacing w:line="560" w:lineRule="exact"/>
        <w:ind w:firstLine="600" w:firstLineChars="200"/>
        <w:jc w:val="left"/>
        <w:rPr>
          <w:rFonts w:ascii="Times New Roman" w:hAnsi="Times New Roman" w:cs="Times New Roman"/>
          <w:szCs w:val="30"/>
          <w:lang w:bidi="ar"/>
        </w:rPr>
      </w:pPr>
      <w:r>
        <w:rPr>
          <w:rFonts w:hint="eastAsia" w:ascii="Times New Roman" w:hAnsi="Times New Roman" w:cs="Times New Roman"/>
          <w:szCs w:val="30"/>
          <w:lang w:bidi="ar"/>
        </w:rPr>
        <w:t>公司分析当期财务影响，可对财务状况具体分析，包括总资产、净资产、总负债等项目，经营成果可具体分析收入、成本、净利润等项目。例如：</w:t>
      </w:r>
    </w:p>
    <w:p w14:paraId="2A82F30B">
      <w:pPr>
        <w:widowControl/>
        <w:adjustRightInd w:val="0"/>
        <w:snapToGrid w:val="0"/>
        <w:spacing w:line="560" w:lineRule="exact"/>
        <w:ind w:firstLine="600" w:firstLineChars="200"/>
        <w:jc w:val="left"/>
        <w:rPr>
          <w:rFonts w:ascii="Times New Roman" w:hAnsi="Times New Roman" w:cs="Times New Roman"/>
          <w:i/>
          <w:iCs/>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1</w:t>
      </w:r>
      <w:r>
        <w:rPr>
          <w:rFonts w:hint="eastAsia" w:ascii="Times New Roman" w:hAnsi="Times New Roman" w:cs="Times New Roman"/>
          <w:szCs w:val="30"/>
          <w:lang w:bidi="ar"/>
        </w:rPr>
        <w:t>）气候事件对资产造成的物理损坏所产生的成本与资产减值；</w:t>
      </w:r>
    </w:p>
    <w:p w14:paraId="013FE7DB">
      <w:pPr>
        <w:widowControl/>
        <w:adjustRightInd w:val="0"/>
        <w:snapToGrid w:val="0"/>
        <w:spacing w:line="560" w:lineRule="exact"/>
        <w:ind w:firstLine="600" w:firstLineChars="200"/>
        <w:jc w:val="left"/>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2</w:t>
      </w:r>
      <w:r>
        <w:rPr>
          <w:rFonts w:hint="eastAsia" w:ascii="Times New Roman" w:hAnsi="Times New Roman" w:cs="Times New Roman"/>
          <w:szCs w:val="30"/>
          <w:lang w:bidi="ar"/>
        </w:rPr>
        <w:t>）低碳经济背景下产品或服务所带来的收入增长；</w:t>
      </w:r>
    </w:p>
    <w:p w14:paraId="570DBC33">
      <w:pPr>
        <w:widowControl/>
        <w:adjustRightInd w:val="0"/>
        <w:snapToGrid w:val="0"/>
        <w:spacing w:line="560" w:lineRule="exact"/>
        <w:ind w:firstLine="600" w:firstLineChars="200"/>
        <w:jc w:val="left"/>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3</w:t>
      </w:r>
      <w:r>
        <w:rPr>
          <w:rFonts w:hint="eastAsia" w:ascii="Times New Roman" w:hAnsi="Times New Roman" w:cs="Times New Roman"/>
          <w:szCs w:val="30"/>
          <w:lang w:bidi="ar"/>
        </w:rPr>
        <w:t>）为应对水资源或能源短缺风险，用水或用能效率提升所带来的营运开支变动；</w:t>
      </w:r>
    </w:p>
    <w:p w14:paraId="68DF2691">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4</w:t>
      </w:r>
      <w:r>
        <w:rPr>
          <w:rFonts w:hint="eastAsia" w:ascii="Times New Roman" w:hAnsi="Times New Roman" w:cs="Times New Roman"/>
          <w:szCs w:val="30"/>
          <w:lang w:bidi="ar"/>
        </w:rPr>
        <w:t>）人力资本管理良好，员工创新能力提高，技术和产品革新带来收入的增加；</w:t>
      </w:r>
    </w:p>
    <w:p w14:paraId="73FABC8B">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5</w:t>
      </w:r>
      <w:r>
        <w:rPr>
          <w:rFonts w:hint="eastAsia" w:ascii="Times New Roman" w:hAnsi="Times New Roman" w:cs="Times New Roman"/>
          <w:szCs w:val="30"/>
          <w:lang w:bidi="ar"/>
        </w:rPr>
        <w:t>）发生贿赂及贪污事件，可能因调查或诉讼导致运营暂停，面临巨额罚款和诉讼成本。</w:t>
      </w:r>
    </w:p>
    <w:p w14:paraId="35F205D7">
      <w:pPr>
        <w:widowControl/>
        <w:adjustRightInd w:val="0"/>
        <w:snapToGrid w:val="0"/>
        <w:spacing w:line="560" w:lineRule="exact"/>
        <w:ind w:firstLine="600" w:firstLineChars="200"/>
        <w:jc w:val="left"/>
        <w:rPr>
          <w:rFonts w:ascii="Times New Roman" w:hAnsi="Times New Roman" w:cs="Times New Roman"/>
          <w:szCs w:val="30"/>
          <w:lang w:bidi="ar"/>
        </w:rPr>
      </w:pPr>
      <w:r>
        <w:rPr>
          <w:rFonts w:ascii="Times New Roman" w:hAnsi="Times New Roman" w:cs="Times New Roman"/>
          <w:szCs w:val="30"/>
          <w:lang w:bidi="ar"/>
        </w:rPr>
        <w:t>2</w:t>
      </w:r>
      <w:r>
        <w:rPr>
          <w:rFonts w:hint="eastAsia" w:ascii="Times New Roman" w:hAnsi="Times New Roman" w:cs="Times New Roman"/>
          <w:szCs w:val="30"/>
          <w:lang w:bidi="ar"/>
        </w:rPr>
        <w:t>、鼓励披露主体基于公司管理相关风险和机遇的战略，预计公司财务状况、经营成果、现金流在短期、中期和长期内的变化趋势。</w:t>
      </w:r>
    </w:p>
    <w:p w14:paraId="6C6074A1">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公司基于相关战略分析预期财务影响时，战略可具体包括如资本性支出计划、重大收购和撤资、业务转型、新业务领域拓展、资产报废等方面，例如：</w:t>
      </w:r>
    </w:p>
    <w:p w14:paraId="039302A4">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1</w:t>
      </w:r>
      <w:r>
        <w:rPr>
          <w:rFonts w:hint="eastAsia" w:ascii="Times New Roman" w:hAnsi="Times New Roman" w:cs="Times New Roman"/>
          <w:szCs w:val="30"/>
          <w:lang w:bidi="ar"/>
        </w:rPr>
        <w:t>）下一年购买生产新型可持续包装的机械设备发生的支出变动；</w:t>
      </w:r>
    </w:p>
    <w:p w14:paraId="1665D98D">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2</w:t>
      </w:r>
      <w:r>
        <w:rPr>
          <w:rFonts w:hint="eastAsia" w:ascii="Times New Roman" w:hAnsi="Times New Roman" w:cs="Times New Roman"/>
          <w:szCs w:val="30"/>
          <w:lang w:bidi="ar"/>
        </w:rPr>
        <w:t>）未来</w:t>
      </w:r>
      <w:r>
        <w:rPr>
          <w:rFonts w:ascii="Times New Roman" w:hAnsi="Times New Roman" w:cs="Times New Roman"/>
          <w:szCs w:val="30"/>
          <w:lang w:bidi="ar"/>
        </w:rPr>
        <w:t>3</w:t>
      </w:r>
      <w:r>
        <w:rPr>
          <w:rFonts w:hint="eastAsia" w:ascii="Times New Roman" w:hAnsi="Times New Roman" w:cs="Times New Roman"/>
          <w:szCs w:val="30"/>
          <w:lang w:bidi="ar"/>
        </w:rPr>
        <w:t>年为建造绿色建筑进行的可持续融资安排的融资成本变动；</w:t>
      </w:r>
    </w:p>
    <w:p w14:paraId="36F17F43">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3</w:t>
      </w:r>
      <w:r>
        <w:rPr>
          <w:rFonts w:hint="eastAsia" w:ascii="Times New Roman" w:hAnsi="Times New Roman" w:cs="Times New Roman"/>
          <w:szCs w:val="30"/>
          <w:lang w:bidi="ar"/>
        </w:rPr>
        <w:t>）未来</w:t>
      </w:r>
      <w:r>
        <w:rPr>
          <w:rFonts w:ascii="Times New Roman" w:hAnsi="Times New Roman" w:cs="Times New Roman"/>
          <w:szCs w:val="30"/>
          <w:lang w:bidi="ar"/>
        </w:rPr>
        <w:t>3</w:t>
      </w:r>
      <w:r>
        <w:rPr>
          <w:rFonts w:hint="eastAsia" w:ascii="Times New Roman" w:hAnsi="Times New Roman" w:cs="Times New Roman"/>
          <w:szCs w:val="30"/>
          <w:lang w:bidi="ar"/>
        </w:rPr>
        <w:t>年内推出符合净零排放目标的新产品带来的收入变动；</w:t>
      </w:r>
    </w:p>
    <w:p w14:paraId="2C8C4B69">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4</w:t>
      </w:r>
      <w:r>
        <w:rPr>
          <w:rFonts w:hint="eastAsia" w:ascii="Times New Roman" w:hAnsi="Times New Roman" w:cs="Times New Roman"/>
          <w:szCs w:val="30"/>
          <w:lang w:bidi="ar"/>
        </w:rPr>
        <w:t>）与气候适应或减缓相关的支出变动，如未来</w:t>
      </w:r>
      <w:r>
        <w:rPr>
          <w:rFonts w:ascii="Times New Roman" w:hAnsi="Times New Roman" w:cs="Times New Roman"/>
          <w:szCs w:val="30"/>
          <w:lang w:bidi="ar"/>
        </w:rPr>
        <w:t>3</w:t>
      </w:r>
      <w:r>
        <w:rPr>
          <w:rFonts w:hint="eastAsia" w:ascii="Times New Roman" w:hAnsi="Times New Roman" w:cs="Times New Roman"/>
          <w:szCs w:val="30"/>
          <w:lang w:bidi="ar"/>
        </w:rPr>
        <w:t>年内购买节能设备（如</w:t>
      </w:r>
      <w:r>
        <w:rPr>
          <w:rFonts w:ascii="Times New Roman" w:hAnsi="Times New Roman" w:cs="Times New Roman"/>
          <w:szCs w:val="30"/>
          <w:lang w:bidi="ar"/>
        </w:rPr>
        <w:t>LED</w:t>
      </w:r>
      <w:r>
        <w:rPr>
          <w:rFonts w:hint="eastAsia" w:ascii="Times New Roman" w:hAnsi="Times New Roman" w:cs="Times New Roman"/>
          <w:szCs w:val="30"/>
          <w:lang w:bidi="ar"/>
        </w:rPr>
        <w:t>灯）的支出等；</w:t>
      </w:r>
    </w:p>
    <w:p w14:paraId="73951F40">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5</w:t>
      </w:r>
      <w:r>
        <w:rPr>
          <w:rFonts w:hint="eastAsia" w:ascii="Times New Roman" w:hAnsi="Times New Roman" w:cs="Times New Roman"/>
          <w:szCs w:val="30"/>
          <w:lang w:bidi="ar"/>
        </w:rPr>
        <w:t>）未来</w:t>
      </w:r>
      <w:r>
        <w:rPr>
          <w:rFonts w:ascii="Times New Roman" w:hAnsi="Times New Roman" w:cs="Times New Roman"/>
          <w:szCs w:val="30"/>
          <w:lang w:bidi="ar"/>
        </w:rPr>
        <w:t>5</w:t>
      </w:r>
      <w:r>
        <w:rPr>
          <w:rFonts w:hint="eastAsia" w:ascii="Times New Roman" w:hAnsi="Times New Roman" w:cs="Times New Roman"/>
          <w:szCs w:val="30"/>
          <w:lang w:bidi="ar"/>
        </w:rPr>
        <w:t>年以纯电汽车代替燃油车的收入及支出变动；</w:t>
      </w:r>
    </w:p>
    <w:p w14:paraId="2B8B7DCC">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w:t>
      </w:r>
      <w:r>
        <w:rPr>
          <w:rFonts w:ascii="Times New Roman" w:hAnsi="Times New Roman" w:cs="Times New Roman"/>
          <w:szCs w:val="30"/>
          <w:lang w:bidi="ar"/>
        </w:rPr>
        <w:t>6</w:t>
      </w:r>
      <w:r>
        <w:rPr>
          <w:rFonts w:hint="eastAsia" w:ascii="Times New Roman" w:hAnsi="Times New Roman" w:cs="Times New Roman"/>
          <w:szCs w:val="30"/>
          <w:lang w:bidi="ar"/>
        </w:rPr>
        <w:t>）未来将生效的法律法规或税收政策导致公司税费增加、产品难以满足市场需求，或可能导致利润下降等。</w:t>
      </w:r>
    </w:p>
    <w:p w14:paraId="0B79C582">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公司可持续风险和机遇的当期财务影响和预期财务影响，往往与财务报表信息具有关联,可以通过交叉索引等方式与公司当期的财务报告关联。</w:t>
      </w:r>
    </w:p>
    <w:p w14:paraId="7E72CC2A">
      <w:pPr>
        <w:widowControl/>
        <w:adjustRightInd w:val="0"/>
        <w:snapToGrid w:val="0"/>
        <w:spacing w:line="560" w:lineRule="exact"/>
        <w:ind w:firstLine="600" w:firstLineChars="200"/>
        <w:outlineLvl w:val="1"/>
        <w:rPr>
          <w:rFonts w:ascii="Times New Roman" w:hAnsi="Times New Roman" w:eastAsia="黑体" w:cs="Times New Roman"/>
          <w:szCs w:val="30"/>
        </w:rPr>
      </w:pPr>
      <w:bookmarkStart w:id="292" w:name="_Toc12807"/>
      <w:bookmarkStart w:id="293" w:name="_Toc5457"/>
      <w:bookmarkStart w:id="294" w:name="_Toc187328635"/>
      <w:bookmarkStart w:id="295" w:name="_Toc13019"/>
      <w:bookmarkStart w:id="296" w:name="_Toc180164968"/>
      <w:bookmarkStart w:id="297" w:name="_Toc31892"/>
      <w:bookmarkStart w:id="298" w:name="_Toc181730965"/>
      <w:r>
        <w:rPr>
          <w:rFonts w:hint="eastAsia" w:ascii="Times New Roman" w:hAnsi="Times New Roman" w:eastAsia="黑体" w:cs="Times New Roman"/>
          <w:szCs w:val="30"/>
        </w:rPr>
        <w:t>四、评估战略和业务模式对可持续相关风险的适应性</w:t>
      </w:r>
      <w:bookmarkEnd w:id="292"/>
      <w:bookmarkEnd w:id="293"/>
      <w:bookmarkEnd w:id="294"/>
      <w:bookmarkEnd w:id="295"/>
      <w:bookmarkEnd w:id="296"/>
      <w:bookmarkEnd w:id="297"/>
      <w:bookmarkEnd w:id="298"/>
    </w:p>
    <w:p w14:paraId="086CA418">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本所鼓励披露主体评估公司的战略及商业模式对可持续发展相关风险的适应性。</w:t>
      </w:r>
    </w:p>
    <w:p w14:paraId="52D19F05">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有条件的公司可以采用情景分析等方式对可持续相关风险的不确定性进行评估；及时对公司的战略和业务模式作出调整，旨在帮助信息使用者了解和评估公司在不同情景下应对和抵御可持续风险的适应性。关于战略的披露框架可详见“第七章</w:t>
      </w:r>
      <w:r>
        <w:rPr>
          <w:rFonts w:ascii="Times New Roman" w:hAnsi="Times New Roman" w:cs="Times New Roman"/>
          <w:szCs w:val="30"/>
          <w:lang w:bidi="ar"/>
        </w:rPr>
        <w:t xml:space="preserve"> </w:t>
      </w:r>
      <w:r>
        <w:rPr>
          <w:rFonts w:hint="eastAsia" w:ascii="Times New Roman" w:hAnsi="Times New Roman" w:cs="Times New Roman"/>
          <w:szCs w:val="30"/>
          <w:lang w:bidi="ar"/>
        </w:rPr>
        <w:t>报告披露”相关内容。</w:t>
      </w:r>
    </w:p>
    <w:p w14:paraId="7DA43DBC">
      <w:pPr>
        <w:widowControl/>
        <w:adjustRightInd w:val="0"/>
        <w:snapToGrid w:val="0"/>
        <w:spacing w:line="546" w:lineRule="exact"/>
        <w:jc w:val="center"/>
        <w:outlineLvl w:val="0"/>
        <w:rPr>
          <w:rFonts w:ascii="Times New Roman" w:hAnsi="Times New Roman" w:eastAsia="黑体" w:cs="Times New Roman"/>
          <w:b/>
          <w:bCs/>
          <w:szCs w:val="30"/>
        </w:rPr>
      </w:pPr>
      <w:r>
        <w:rPr>
          <w:rFonts w:ascii="Times New Roman" w:hAnsi="Times New Roman" w:eastAsia="黑体" w:cs="Times New Roman"/>
          <w:b/>
          <w:bCs/>
          <w:szCs w:val="30"/>
        </w:rPr>
        <w:br w:type="page"/>
      </w:r>
      <w:bookmarkStart w:id="299" w:name="_Toc22337"/>
      <w:bookmarkStart w:id="300" w:name="_Toc26276"/>
      <w:bookmarkStart w:id="301" w:name="_Toc181730966"/>
      <w:bookmarkStart w:id="302" w:name="_Toc22986"/>
      <w:bookmarkStart w:id="303" w:name="_Toc187328636"/>
      <w:bookmarkStart w:id="304" w:name="_Toc10321"/>
      <w:bookmarkStart w:id="305" w:name="_Toc180164969"/>
      <w:r>
        <w:rPr>
          <w:rFonts w:hint="eastAsia" w:ascii="Times New Roman" w:hAnsi="Times New Roman" w:eastAsia="黑体" w:cs="Times New Roman"/>
          <w:b/>
          <w:bCs/>
          <w:szCs w:val="30"/>
        </w:rPr>
        <w:t>第五章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影响、风险和机遇管理</w:t>
      </w:r>
      <w:bookmarkEnd w:id="299"/>
      <w:bookmarkEnd w:id="300"/>
      <w:bookmarkEnd w:id="301"/>
      <w:bookmarkEnd w:id="302"/>
      <w:bookmarkEnd w:id="303"/>
      <w:bookmarkEnd w:id="304"/>
      <w:bookmarkEnd w:id="305"/>
    </w:p>
    <w:p w14:paraId="40071CD0">
      <w:pPr>
        <w:adjustRightInd w:val="0"/>
        <w:snapToGrid w:val="0"/>
        <w:spacing w:line="548" w:lineRule="exact"/>
        <w:ind w:firstLine="600" w:firstLineChars="200"/>
        <w:outlineLvl w:val="1"/>
        <w:rPr>
          <w:rFonts w:ascii="Times New Roman" w:hAnsi="Times New Roman" w:eastAsia="黑体" w:cs="Times New Roman"/>
          <w:szCs w:val="30"/>
        </w:rPr>
      </w:pPr>
      <w:bookmarkStart w:id="306" w:name="_Toc180164973"/>
      <w:bookmarkStart w:id="307" w:name="_Toc24168"/>
      <w:bookmarkStart w:id="308" w:name="_Toc181730967"/>
      <w:bookmarkStart w:id="309" w:name="_Toc11896"/>
      <w:bookmarkStart w:id="310" w:name="_Toc14583"/>
      <w:bookmarkStart w:id="311" w:name="_Toc187328637"/>
      <w:bookmarkStart w:id="312" w:name="_Toc28514"/>
      <w:r>
        <w:rPr>
          <w:rFonts w:hint="eastAsia" w:ascii="Times New Roman" w:hAnsi="Times New Roman" w:eastAsia="黑体" w:cs="Times New Roman"/>
          <w:szCs w:val="30"/>
        </w:rPr>
        <w:t>一、识别、评估“影响、风险和机遇”的</w:t>
      </w:r>
      <w:bookmarkEnd w:id="306"/>
      <w:r>
        <w:rPr>
          <w:rFonts w:hint="eastAsia" w:ascii="Times New Roman" w:hAnsi="Times New Roman" w:eastAsia="黑体" w:cs="Times New Roman"/>
          <w:szCs w:val="30"/>
        </w:rPr>
        <w:t>流程</w:t>
      </w:r>
      <w:bookmarkEnd w:id="307"/>
      <w:bookmarkEnd w:id="308"/>
      <w:bookmarkEnd w:id="309"/>
      <w:bookmarkEnd w:id="310"/>
      <w:bookmarkEnd w:id="311"/>
      <w:bookmarkEnd w:id="312"/>
    </w:p>
    <w:p w14:paraId="46C7D12F">
      <w:pPr>
        <w:adjustRightInd w:val="0"/>
        <w:snapToGrid w:val="0"/>
        <w:spacing w:line="548" w:lineRule="exact"/>
        <w:ind w:firstLine="600"/>
        <w:rPr>
          <w:rFonts w:ascii="Times New Roman" w:hAnsi="Times New Roman" w:cs="Times New Roman"/>
          <w:kern w:val="0"/>
          <w:szCs w:val="30"/>
        </w:rPr>
      </w:pPr>
      <w:r>
        <w:rPr>
          <w:rFonts w:hint="eastAsia" w:ascii="Times New Roman" w:hAnsi="Times New Roman" w:cs="Times New Roman"/>
          <w:kern w:val="0"/>
          <w:szCs w:val="30"/>
        </w:rPr>
        <w:t>披露主体应当披露识别、评估可持续发展相关影响、风险和机遇的方法，以及评估这些影响、风险和机遇发生的可能性、大小和影响的途径。披露主体应当明确对可持续发展相关影响、风险与机遇的优先级排序及排序标准。</w:t>
      </w:r>
    </w:p>
    <w:p w14:paraId="4B7C2D48">
      <w:pPr>
        <w:adjustRightInd w:val="0"/>
        <w:snapToGrid w:val="0"/>
        <w:spacing w:line="548" w:lineRule="exact"/>
        <w:ind w:firstLine="600"/>
        <w:rPr>
          <w:rFonts w:ascii="Times New Roman" w:hAnsi="Times New Roman" w:cs="Times New Roman"/>
          <w:kern w:val="0"/>
          <w:szCs w:val="30"/>
        </w:rPr>
      </w:pPr>
      <w:r>
        <w:rPr>
          <w:rFonts w:hint="eastAsia" w:ascii="Times New Roman" w:hAnsi="Times New Roman" w:cs="Times New Roman"/>
          <w:kern w:val="0"/>
          <w:szCs w:val="30"/>
        </w:rPr>
        <w:t>流程可以包括用于识别、评估潜在和实际影响的流程和用于识别、评估具有或可能具有财务影响的风险和机遇的流程，如明确采用的方法和关键假设，使用的输入值和参数及其来源，评估性质、可能性和规模的方法，如何考虑优先级，与前期相比这些流程是否发生变化等。</w:t>
      </w:r>
    </w:p>
    <w:p w14:paraId="7E314D2F">
      <w:pPr>
        <w:adjustRightInd w:val="0"/>
        <w:snapToGrid w:val="0"/>
        <w:spacing w:line="548" w:lineRule="exact"/>
        <w:ind w:firstLine="600"/>
        <w:rPr>
          <w:rFonts w:ascii="Times New Roman" w:hAnsi="Times New Roman" w:cs="Times New Roman"/>
          <w:kern w:val="0"/>
          <w:szCs w:val="30"/>
        </w:rPr>
      </w:pPr>
      <w:r>
        <w:rPr>
          <w:rFonts w:hint="eastAsia" w:ascii="Times New Roman" w:hAnsi="Times New Roman" w:cs="Times New Roman"/>
          <w:kern w:val="0"/>
          <w:szCs w:val="30"/>
        </w:rPr>
        <w:t>关于识别、评估可持续发展相关的影响、风险和机遇的流程、方法以及优先级排序，详见本指南“第二章</w:t>
      </w:r>
      <w:r>
        <w:rPr>
          <w:rFonts w:ascii="Times New Roman" w:hAnsi="Times New Roman" w:cs="Times New Roman"/>
          <w:kern w:val="0"/>
          <w:szCs w:val="30"/>
        </w:rPr>
        <w:t xml:space="preserve"> </w:t>
      </w:r>
      <w:r>
        <w:rPr>
          <w:rFonts w:hint="eastAsia" w:ascii="Times New Roman" w:hAnsi="Times New Roman" w:cs="Times New Roman"/>
          <w:kern w:val="0"/>
          <w:szCs w:val="30"/>
        </w:rPr>
        <w:t>重要性议题识别与分析”。</w:t>
      </w:r>
    </w:p>
    <w:p w14:paraId="53E6F8A7">
      <w:pPr>
        <w:adjustRightInd w:val="0"/>
        <w:snapToGrid w:val="0"/>
        <w:spacing w:line="548" w:lineRule="exact"/>
        <w:ind w:firstLine="600" w:firstLineChars="200"/>
        <w:outlineLvl w:val="1"/>
        <w:rPr>
          <w:rFonts w:ascii="Times New Roman" w:hAnsi="Times New Roman" w:eastAsia="黑体" w:cs="Times New Roman"/>
          <w:szCs w:val="30"/>
        </w:rPr>
      </w:pPr>
      <w:bookmarkStart w:id="313" w:name="_Toc181730968"/>
      <w:bookmarkStart w:id="314" w:name="_Toc19744"/>
      <w:bookmarkStart w:id="315" w:name="_Toc10994"/>
      <w:bookmarkStart w:id="316" w:name="_Toc187328638"/>
      <w:bookmarkStart w:id="317" w:name="_Toc180164975"/>
      <w:bookmarkStart w:id="318" w:name="_Toc21901"/>
      <w:bookmarkStart w:id="319" w:name="_Toc9597"/>
      <w:r>
        <w:rPr>
          <w:rFonts w:hint="eastAsia" w:ascii="Times New Roman" w:hAnsi="Times New Roman" w:eastAsia="黑体" w:cs="Times New Roman"/>
          <w:szCs w:val="30"/>
        </w:rPr>
        <w:t>二、监测与管理“影响、风险和机遇</w:t>
      </w:r>
      <w:bookmarkEnd w:id="313"/>
      <w:bookmarkEnd w:id="314"/>
      <w:bookmarkEnd w:id="315"/>
      <w:bookmarkEnd w:id="316"/>
      <w:bookmarkEnd w:id="317"/>
      <w:bookmarkEnd w:id="318"/>
      <w:bookmarkEnd w:id="319"/>
      <w:r>
        <w:rPr>
          <w:rFonts w:hint="eastAsia" w:ascii="Times New Roman" w:hAnsi="Times New Roman" w:eastAsia="黑体" w:cs="Times New Roman"/>
          <w:szCs w:val="30"/>
        </w:rPr>
        <w:t>”</w:t>
      </w:r>
    </w:p>
    <w:p w14:paraId="48453D2B">
      <w:pPr>
        <w:adjustRightInd w:val="0"/>
        <w:snapToGrid w:val="0"/>
        <w:spacing w:line="548" w:lineRule="exact"/>
        <w:ind w:firstLine="600"/>
        <w:rPr>
          <w:rFonts w:ascii="Times New Roman" w:hAnsi="Times New Roman" w:cs="Times New Roman"/>
          <w:kern w:val="0"/>
          <w:szCs w:val="30"/>
        </w:rPr>
      </w:pPr>
      <w:r>
        <w:rPr>
          <w:rFonts w:hint="eastAsia" w:ascii="Times New Roman" w:hAnsi="Times New Roman" w:cs="Times New Roman"/>
          <w:kern w:val="0"/>
          <w:szCs w:val="30"/>
        </w:rPr>
        <w:t>披露主体应当监测可持续发展相关的影响、风险和机遇的情况，如建立管理机制、流程等。同时，应当将可持续发展相关影响、风险和机遇的管理流程融入内部管理流程。</w:t>
      </w:r>
    </w:p>
    <w:p w14:paraId="3DF962CB">
      <w:pPr>
        <w:adjustRightInd w:val="0"/>
        <w:snapToGrid w:val="0"/>
        <w:spacing w:line="548" w:lineRule="exact"/>
        <w:ind w:firstLine="600"/>
        <w:rPr>
          <w:rFonts w:ascii="Times New Roman" w:hAnsi="Times New Roman" w:cs="Times New Roman"/>
          <w:kern w:val="0"/>
          <w:szCs w:val="30"/>
        </w:rPr>
      </w:pPr>
      <w:r>
        <w:rPr>
          <w:rFonts w:hint="eastAsia" w:ascii="Times New Roman" w:hAnsi="Times New Roman" w:cs="Times New Roman"/>
          <w:kern w:val="0"/>
          <w:szCs w:val="30"/>
        </w:rPr>
        <w:t>披露主体针对可持续相关风险和机遇进行统一管理的，可以就风险管理进行整合披露，无需披露单个议题的相关信息。</w:t>
      </w:r>
    </w:p>
    <w:p w14:paraId="76A20D1E">
      <w:pPr>
        <w:adjustRightInd w:val="0"/>
        <w:snapToGrid w:val="0"/>
        <w:spacing w:line="548" w:lineRule="exact"/>
        <w:ind w:firstLine="600"/>
        <w:rPr>
          <w:rFonts w:ascii="Times New Roman" w:hAnsi="Times New Roman" w:cs="Times New Roman"/>
          <w:kern w:val="0"/>
          <w:szCs w:val="30"/>
        </w:rPr>
      </w:pPr>
      <w:r>
        <w:rPr>
          <w:rFonts w:hint="eastAsia" w:ascii="Times New Roman" w:hAnsi="Times New Roman" w:cs="Times New Roman"/>
          <w:kern w:val="0"/>
          <w:szCs w:val="30"/>
        </w:rPr>
        <w:t>公司监测与管理影响、风险和机遇可以通过制定管理制度、明确监测流程以及采取管理措施的步骤开展工作。</w:t>
      </w:r>
    </w:p>
    <w:p w14:paraId="0F18386D">
      <w:pPr>
        <w:tabs>
          <w:tab w:val="left" w:pos="2986"/>
        </w:tabs>
        <w:adjustRightInd w:val="0"/>
        <w:snapToGrid w:val="0"/>
        <w:spacing w:line="548" w:lineRule="exact"/>
        <w:ind w:firstLine="602" w:firstLineChars="200"/>
        <w:rPr>
          <w:rFonts w:ascii="Times New Roman" w:hAnsi="Times New Roman" w:cs="Times New Roman"/>
          <w:b/>
          <w:bCs/>
          <w:kern w:val="0"/>
          <w:szCs w:val="30"/>
        </w:rPr>
      </w:pPr>
      <w:r>
        <w:rPr>
          <w:rFonts w:hint="eastAsia" w:ascii="Times New Roman" w:hAnsi="Times New Roman" w:cs="Times New Roman"/>
          <w:b/>
          <w:bCs/>
          <w:kern w:val="0"/>
          <w:szCs w:val="30"/>
        </w:rPr>
        <w:t>步骤一：制定管理制度</w:t>
      </w:r>
    </w:p>
    <w:p w14:paraId="33F1E4B1">
      <w:pPr>
        <w:tabs>
          <w:tab w:val="left" w:pos="2986"/>
        </w:tabs>
        <w:adjustRightInd w:val="0"/>
        <w:snapToGrid w:val="0"/>
        <w:spacing w:line="548" w:lineRule="exact"/>
        <w:ind w:firstLine="600" w:firstLineChars="200"/>
        <w:rPr>
          <w:rFonts w:ascii="Times New Roman" w:hAnsi="Times New Roman" w:cs="Times New Roman"/>
          <w:kern w:val="0"/>
          <w:szCs w:val="30"/>
        </w:rPr>
      </w:pPr>
      <w:r>
        <w:rPr>
          <w:rFonts w:hint="eastAsia" w:ascii="Times New Roman" w:hAnsi="Times New Roman" w:cs="Times New Roman"/>
          <w:kern w:val="0"/>
          <w:szCs w:val="30"/>
        </w:rPr>
        <w:t>公司为预防、减轻和补救实际和潜在影响、应对风险和寻求机遇而制定的管理制度，包括：</w:t>
      </w:r>
    </w:p>
    <w:p w14:paraId="7CE938A5">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1</w:t>
      </w:r>
      <w:r>
        <w:rPr>
          <w:rFonts w:hint="eastAsia" w:ascii="Times New Roman" w:hAnsi="Times New Roman" w:cs="Times New Roman"/>
          <w:kern w:val="0"/>
          <w:szCs w:val="30"/>
        </w:rPr>
        <w:t>、明确制度的一般目标（如有），制度涉及哪些重大影响、风险或机遇；</w:t>
      </w:r>
    </w:p>
    <w:p w14:paraId="24BDE22C">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2</w:t>
      </w:r>
      <w:r>
        <w:rPr>
          <w:rFonts w:hint="eastAsia" w:ascii="Times New Roman" w:hAnsi="Times New Roman" w:cs="Times New Roman"/>
          <w:kern w:val="0"/>
          <w:szCs w:val="30"/>
        </w:rPr>
        <w:t>、明确制度适用的范围（或制度的排除范围），包括所覆盖的业务活动、上下游价值链、地理区域、受影响的利益相关方；</w:t>
      </w:r>
    </w:p>
    <w:p w14:paraId="0EA54B30">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3</w:t>
      </w:r>
      <w:r>
        <w:rPr>
          <w:rFonts w:hint="eastAsia" w:ascii="Times New Roman" w:hAnsi="Times New Roman" w:cs="Times New Roman"/>
          <w:kern w:val="0"/>
          <w:szCs w:val="30"/>
        </w:rPr>
        <w:t>、明确公司内部负责实施制度的最高管理级别；</w:t>
      </w:r>
    </w:p>
    <w:p w14:paraId="3BF863C6">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4</w:t>
      </w:r>
      <w:r>
        <w:rPr>
          <w:rFonts w:hint="eastAsia" w:ascii="Times New Roman" w:hAnsi="Times New Roman" w:cs="Times New Roman"/>
          <w:kern w:val="0"/>
          <w:szCs w:val="30"/>
        </w:rPr>
        <w:t>、公司在制定制度时是如何考虑关键利益相关方的；</w:t>
      </w:r>
    </w:p>
    <w:p w14:paraId="6828B116">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5</w:t>
      </w:r>
      <w:r>
        <w:rPr>
          <w:rFonts w:hint="eastAsia" w:ascii="Times New Roman" w:hAnsi="Times New Roman" w:cs="Times New Roman"/>
          <w:kern w:val="0"/>
          <w:szCs w:val="30"/>
        </w:rPr>
        <w:t>、公司将制度告知潜在受影响的利益相关方的方式，明确需要帮助实施制度的利益相关方。</w:t>
      </w:r>
    </w:p>
    <w:p w14:paraId="0754F605">
      <w:pPr>
        <w:adjustRightInd w:val="0"/>
        <w:snapToGrid w:val="0"/>
        <w:spacing w:line="548" w:lineRule="exact"/>
        <w:ind w:firstLine="602" w:firstLineChars="200"/>
        <w:rPr>
          <w:rFonts w:ascii="Times New Roman" w:hAnsi="Times New Roman" w:cs="Times New Roman"/>
          <w:b/>
          <w:bCs/>
          <w:kern w:val="0"/>
          <w:szCs w:val="30"/>
        </w:rPr>
      </w:pPr>
      <w:r>
        <w:rPr>
          <w:rFonts w:hint="eastAsia" w:ascii="Times New Roman" w:hAnsi="Times New Roman" w:cs="Times New Roman"/>
          <w:b/>
          <w:bCs/>
          <w:kern w:val="0"/>
          <w:szCs w:val="30"/>
        </w:rPr>
        <w:t>步骤二：建立影响、风险和机遇的监测流程</w:t>
      </w:r>
    </w:p>
    <w:p w14:paraId="42DE7200">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1</w:t>
      </w:r>
      <w:r>
        <w:rPr>
          <w:rFonts w:hint="eastAsia" w:ascii="Times New Roman" w:hAnsi="Times New Roman" w:cs="Times New Roman"/>
          <w:kern w:val="0"/>
          <w:szCs w:val="30"/>
        </w:rPr>
        <w:t>、公司监测影响、风险和机遇的流程；</w:t>
      </w:r>
    </w:p>
    <w:p w14:paraId="030AC7A9">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2</w:t>
      </w:r>
      <w:r>
        <w:rPr>
          <w:rFonts w:hint="eastAsia" w:ascii="Times New Roman" w:hAnsi="Times New Roman" w:cs="Times New Roman"/>
          <w:kern w:val="0"/>
          <w:szCs w:val="30"/>
        </w:rPr>
        <w:t>、影响、风险和机遇的管理流程是否融入公司内部管理流程；</w:t>
      </w:r>
    </w:p>
    <w:p w14:paraId="1F4654F9">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3</w:t>
      </w:r>
      <w:r>
        <w:rPr>
          <w:rFonts w:hint="eastAsia" w:ascii="Times New Roman" w:hAnsi="Times New Roman" w:cs="Times New Roman"/>
          <w:kern w:val="0"/>
          <w:szCs w:val="30"/>
        </w:rPr>
        <w:t>、公司可以使用的风险监测工具，包括使用信息化手段优化管理流程，记录和保存相关信息，运用大数据等工具，对影响、风险和机遇情况的监控和风险分析；</w:t>
      </w:r>
    </w:p>
    <w:p w14:paraId="233CCFC1">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4</w:t>
      </w:r>
      <w:r>
        <w:rPr>
          <w:rFonts w:hint="eastAsia" w:ascii="Times New Roman" w:hAnsi="Times New Roman" w:cs="Times New Roman"/>
          <w:kern w:val="0"/>
          <w:szCs w:val="30"/>
        </w:rPr>
        <w:t>、明确公司监测影响、风险和机遇的频率并在《可持续发展报告》中披露在报告期内的监测结果。</w:t>
      </w:r>
    </w:p>
    <w:p w14:paraId="5A115BB2">
      <w:pPr>
        <w:adjustRightInd w:val="0"/>
        <w:snapToGrid w:val="0"/>
        <w:spacing w:line="548" w:lineRule="exact"/>
        <w:ind w:firstLine="602" w:firstLineChars="200"/>
        <w:rPr>
          <w:rFonts w:ascii="Times New Roman" w:hAnsi="Times New Roman" w:cs="Times New Roman"/>
          <w:b/>
          <w:bCs/>
          <w:kern w:val="0"/>
          <w:szCs w:val="30"/>
        </w:rPr>
      </w:pPr>
      <w:r>
        <w:rPr>
          <w:rFonts w:hint="eastAsia" w:ascii="Times New Roman" w:hAnsi="Times New Roman" w:cs="Times New Roman"/>
          <w:b/>
          <w:bCs/>
          <w:kern w:val="0"/>
          <w:szCs w:val="30"/>
        </w:rPr>
        <w:t>步骤三：采取管理措施</w:t>
      </w:r>
    </w:p>
    <w:p w14:paraId="63E70C0F">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1</w:t>
      </w:r>
      <w:r>
        <w:rPr>
          <w:rFonts w:hint="eastAsia" w:ascii="Times New Roman" w:hAnsi="Times New Roman" w:cs="Times New Roman"/>
          <w:kern w:val="0"/>
          <w:szCs w:val="30"/>
        </w:rPr>
        <w:t>、制定公司已采取措施和未来拟采取的措施清单，明确预期结果以及采取的措施如何实现目标，以及计划完成每个措施的时间范围；</w:t>
      </w:r>
    </w:p>
    <w:p w14:paraId="2BCA4836">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2</w:t>
      </w:r>
      <w:r>
        <w:rPr>
          <w:rFonts w:hint="eastAsia" w:ascii="Times New Roman" w:hAnsi="Times New Roman" w:cs="Times New Roman"/>
          <w:kern w:val="0"/>
          <w:szCs w:val="30"/>
        </w:rPr>
        <w:t>、明确关键措施的范围（如覆盖的业务活动、地理区域和受影响的利益相关方）；</w:t>
      </w:r>
    </w:p>
    <w:p w14:paraId="75498410">
      <w:pPr>
        <w:numPr>
          <w:ilvl w:val="255"/>
          <w:numId w:val="0"/>
        </w:num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3</w:t>
      </w:r>
      <w:r>
        <w:rPr>
          <w:rFonts w:hint="eastAsia" w:ascii="Times New Roman" w:hAnsi="Times New Roman" w:cs="Times New Roman"/>
          <w:kern w:val="0"/>
          <w:szCs w:val="30"/>
        </w:rPr>
        <w:t>、公司就已造成的实际重大影响以及为受到实际重大影响的群体提供的补救措施；</w:t>
      </w:r>
    </w:p>
    <w:p w14:paraId="541C51CC">
      <w:pPr>
        <w:adjustRightInd w:val="0"/>
        <w:snapToGrid w:val="0"/>
        <w:spacing w:line="548" w:lineRule="exact"/>
        <w:ind w:firstLine="600" w:firstLineChars="200"/>
        <w:rPr>
          <w:rFonts w:ascii="Times New Roman" w:hAnsi="Times New Roman" w:cs="Times New Roman"/>
          <w:kern w:val="0"/>
          <w:szCs w:val="30"/>
        </w:rPr>
      </w:pPr>
      <w:r>
        <w:rPr>
          <w:rFonts w:ascii="Times New Roman" w:hAnsi="Times New Roman" w:cs="Times New Roman"/>
          <w:kern w:val="0"/>
          <w:szCs w:val="30"/>
        </w:rPr>
        <w:t>4</w:t>
      </w:r>
      <w:r>
        <w:rPr>
          <w:rFonts w:hint="eastAsia" w:ascii="Times New Roman" w:hAnsi="Times New Roman" w:cs="Times New Roman"/>
          <w:kern w:val="0"/>
          <w:szCs w:val="30"/>
        </w:rPr>
        <w:t>、公司对措施计划进展情况所进行的定性和定量分析，包括监测目标完成情况、采取措施所投入的资源（人力和财力）等。</w:t>
      </w:r>
      <w:bookmarkStart w:id="320" w:name="_Toc22669"/>
      <w:bookmarkStart w:id="321" w:name="_Toc27063"/>
      <w:bookmarkStart w:id="322" w:name="_Toc24541"/>
      <w:bookmarkStart w:id="323" w:name="_Toc30744"/>
    </w:p>
    <w:p w14:paraId="391270D9">
      <w:pPr>
        <w:widowControl/>
        <w:adjustRightInd w:val="0"/>
        <w:snapToGrid w:val="0"/>
        <w:spacing w:line="560" w:lineRule="exact"/>
        <w:jc w:val="center"/>
        <w:outlineLvl w:val="0"/>
        <w:rPr>
          <w:rFonts w:ascii="Times New Roman" w:hAnsi="Times New Roman" w:eastAsia="黑体" w:cs="Times New Roman"/>
          <w:b/>
          <w:bCs/>
          <w:szCs w:val="30"/>
        </w:rPr>
      </w:pPr>
      <w:r>
        <w:rPr>
          <w:rFonts w:ascii="Times New Roman" w:hAnsi="Times New Roman" w:cs="Times New Roman"/>
          <w:kern w:val="0"/>
          <w:szCs w:val="30"/>
        </w:rPr>
        <w:br w:type="page"/>
      </w:r>
      <w:bookmarkStart w:id="324" w:name="_Toc13870"/>
      <w:bookmarkStart w:id="325" w:name="_Toc187328639"/>
      <w:bookmarkStart w:id="326" w:name="_Toc180164976"/>
      <w:bookmarkStart w:id="327" w:name="_Toc181730969"/>
      <w:bookmarkStart w:id="328" w:name="_Toc28823"/>
      <w:bookmarkStart w:id="329" w:name="_Toc21045"/>
      <w:bookmarkStart w:id="330" w:name="_Toc14103"/>
      <w:r>
        <w:rPr>
          <w:rFonts w:hint="eastAsia" w:ascii="Times New Roman" w:hAnsi="Times New Roman" w:eastAsia="黑体" w:cs="Times New Roman"/>
          <w:b/>
          <w:bCs/>
          <w:szCs w:val="30"/>
        </w:rPr>
        <w:t>第六章</w:t>
      </w:r>
      <w:r>
        <w:rPr>
          <w:rFonts w:ascii="Times New Roman" w:hAnsi="Times New Roman" w:eastAsia="黑体" w:cs="Times New Roman"/>
          <w:b/>
          <w:bCs/>
          <w:szCs w:val="30"/>
        </w:rPr>
        <w:t xml:space="preserve"> </w:t>
      </w:r>
      <w:r>
        <w:rPr>
          <w:rFonts w:hint="eastAsia" w:ascii="Times New Roman" w:hAnsi="Times New Roman" w:eastAsia="黑体" w:cs="Times New Roman"/>
          <w:b/>
          <w:bCs/>
          <w:szCs w:val="30"/>
        </w:rPr>
        <w:t>指标与目标</w:t>
      </w:r>
      <w:bookmarkEnd w:id="320"/>
      <w:bookmarkEnd w:id="321"/>
      <w:bookmarkEnd w:id="322"/>
      <w:bookmarkEnd w:id="323"/>
      <w:bookmarkEnd w:id="324"/>
      <w:bookmarkEnd w:id="325"/>
      <w:bookmarkEnd w:id="326"/>
      <w:bookmarkEnd w:id="327"/>
      <w:bookmarkEnd w:id="328"/>
      <w:bookmarkEnd w:id="329"/>
      <w:bookmarkEnd w:id="330"/>
    </w:p>
    <w:p w14:paraId="639B7A2B">
      <w:pPr>
        <w:widowControl/>
        <w:adjustRightInd w:val="0"/>
        <w:snapToGrid w:val="0"/>
        <w:spacing w:line="560" w:lineRule="exact"/>
        <w:ind w:firstLine="600" w:firstLineChars="200"/>
        <w:rPr>
          <w:rFonts w:ascii="Times New Roman" w:hAnsi="Times New Roman" w:cs="Times New Roman"/>
          <w:szCs w:val="30"/>
        </w:rPr>
      </w:pPr>
      <w:bookmarkStart w:id="331" w:name="_Toc5559"/>
      <w:bookmarkStart w:id="332" w:name="_Toc27082"/>
      <w:bookmarkStart w:id="333" w:name="_Toc18685"/>
      <w:bookmarkStart w:id="334" w:name="_Toc30374"/>
      <w:r>
        <w:rPr>
          <w:rFonts w:hint="eastAsia" w:ascii="Times New Roman" w:hAnsi="Times New Roman" w:cs="Times New Roman"/>
          <w:szCs w:val="30"/>
        </w:rPr>
        <w:t>指标与目标，即公司用于计量、管理、监督、评价其应对可持续发展相关影响、风险和机遇的指标和目标。披露可持续发展相关指标与目标信息，有助于报告使用者了解披露主体在可持续发展相关影响、风险和机遇方面的管理成果及目标取得进展。</w:t>
      </w:r>
    </w:p>
    <w:p w14:paraId="0EFF971C">
      <w:pPr>
        <w:widowControl/>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rPr>
        <w:t>披露主体应当根据相关法律法规、《指引》要求以及自身需要设定可持续发展目标及相关指标，并跟踪报告期末相关目标实现情况以及报告期内的进展情况。公司可参考本指南相关内容进行可持续发展目标及相关指标的设定和管理。</w:t>
      </w:r>
    </w:p>
    <w:p w14:paraId="13D9F927">
      <w:pPr>
        <w:widowControl/>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lang w:bidi="ar"/>
        </w:rPr>
        <w:t>公司</w:t>
      </w:r>
      <w:r>
        <w:rPr>
          <w:rFonts w:hint="eastAsia" w:ascii="Times New Roman" w:hAnsi="Times New Roman" w:cs="Times New Roman"/>
          <w:szCs w:val="30"/>
        </w:rPr>
        <w:t>可以先设定可持续发展目标，并根据目标定义等信息，拆解出可持续发展指标，以监测和审查目标实现进展。如公司暂未设定可持续发展目标，也可设定在相关可持续发展议题下的指标，对公司可持续发展绩效开展监测和管理，并为后续目标设定工作提供基础信息。</w:t>
      </w:r>
    </w:p>
    <w:p w14:paraId="513876E8">
      <w:pPr>
        <w:widowControl/>
        <w:adjustRightInd w:val="0"/>
        <w:snapToGrid w:val="0"/>
        <w:spacing w:line="560" w:lineRule="exact"/>
        <w:ind w:firstLine="600" w:firstLineChars="200"/>
        <w:outlineLvl w:val="1"/>
        <w:rPr>
          <w:rFonts w:ascii="Times New Roman" w:hAnsi="Times New Roman" w:eastAsia="黑体" w:cs="Times New Roman"/>
          <w:szCs w:val="30"/>
          <w:lang w:bidi="ar"/>
        </w:rPr>
      </w:pPr>
      <w:bookmarkStart w:id="335" w:name="_Toc30113"/>
      <w:bookmarkStart w:id="336" w:name="_Toc27159"/>
      <w:bookmarkStart w:id="337" w:name="_Toc187328640"/>
      <w:bookmarkStart w:id="338" w:name="_Toc31674"/>
      <w:bookmarkStart w:id="339" w:name="_Toc19490"/>
      <w:bookmarkStart w:id="340" w:name="_Toc180164982"/>
      <w:bookmarkStart w:id="341" w:name="_Toc181730970"/>
      <w:r>
        <w:rPr>
          <w:rFonts w:hint="eastAsia" w:ascii="Times New Roman" w:hAnsi="Times New Roman" w:eastAsia="黑体" w:cs="Times New Roman"/>
          <w:szCs w:val="30"/>
          <w:lang w:bidi="ar"/>
        </w:rPr>
        <w:t>一、设定和管理目标</w:t>
      </w:r>
      <w:bookmarkEnd w:id="335"/>
      <w:bookmarkEnd w:id="336"/>
      <w:bookmarkEnd w:id="337"/>
      <w:bookmarkEnd w:id="338"/>
      <w:bookmarkEnd w:id="339"/>
      <w:bookmarkEnd w:id="340"/>
      <w:bookmarkEnd w:id="341"/>
    </w:p>
    <w:p w14:paraId="0CC081B4">
      <w:pPr>
        <w:widowControl/>
        <w:adjustRightInd w:val="0"/>
        <w:snapToGrid w:val="0"/>
        <w:spacing w:line="560" w:lineRule="exact"/>
        <w:ind w:firstLine="602" w:firstLineChars="200"/>
        <w:outlineLvl w:val="2"/>
        <w:rPr>
          <w:rFonts w:ascii="Times New Roman" w:hAnsi="Times New Roman" w:cs="Times New Roman"/>
          <w:b/>
          <w:bCs/>
          <w:szCs w:val="30"/>
          <w:lang w:bidi="ar"/>
        </w:rPr>
      </w:pPr>
      <w:bookmarkStart w:id="342" w:name="_Toc180165252"/>
      <w:bookmarkStart w:id="343" w:name="_Toc181730971"/>
      <w:bookmarkStart w:id="344" w:name="_Toc6476"/>
      <w:bookmarkStart w:id="345" w:name="_Toc187328641"/>
      <w:bookmarkStart w:id="346" w:name="_Toc10852"/>
      <w:bookmarkStart w:id="347" w:name="_Toc17406"/>
      <w:bookmarkStart w:id="348" w:name="_Toc30587"/>
      <w:r>
        <w:rPr>
          <w:rFonts w:hint="eastAsia" w:ascii="Times New Roman" w:hAnsi="Times New Roman" w:cs="Times New Roman"/>
          <w:b/>
          <w:bCs/>
          <w:szCs w:val="30"/>
          <w:lang w:bidi="ar"/>
        </w:rPr>
        <w:t>（一）设定目标</w:t>
      </w:r>
      <w:bookmarkEnd w:id="342"/>
      <w:bookmarkEnd w:id="343"/>
      <w:bookmarkEnd w:id="344"/>
      <w:bookmarkEnd w:id="345"/>
      <w:bookmarkEnd w:id="346"/>
      <w:bookmarkEnd w:id="347"/>
      <w:bookmarkEnd w:id="348"/>
    </w:p>
    <w:p w14:paraId="300D24A4">
      <w:pPr>
        <w:widowControl/>
        <w:adjustRightInd w:val="0"/>
        <w:snapToGrid w:val="0"/>
        <w:spacing w:line="560" w:lineRule="exact"/>
        <w:ind w:firstLine="600" w:firstLineChars="200"/>
        <w:rPr>
          <w:rFonts w:ascii="Times New Roman" w:hAnsi="Times New Roman" w:cs="Times New Roman"/>
          <w:szCs w:val="30"/>
        </w:rPr>
      </w:pPr>
      <w:r>
        <w:rPr>
          <w:rFonts w:hint="eastAsia" w:ascii="Times New Roman" w:hAnsi="Times New Roman" w:cs="Times New Roman"/>
          <w:szCs w:val="30"/>
        </w:rPr>
        <w:t>公司可以根据相关法律法规、《指引》要求以及自身需要设定可持续发展相关目标。目标来源、说明及参考示例如下表所示。</w:t>
      </w:r>
    </w:p>
    <w:p w14:paraId="0D050D16">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1</w:t>
      </w:r>
      <w:r>
        <w:rPr>
          <w:rFonts w:hint="eastAsia" w:ascii="Times New Roman" w:hAnsi="Times New Roman" w:eastAsia="黑体" w:cs="Times New Roman"/>
          <w:sz w:val="24"/>
          <w:szCs w:val="24"/>
          <w:lang w:bidi="ar"/>
        </w:rPr>
        <w:t>8：目标来源、说明及参考示例</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3261"/>
        <w:gridCol w:w="3339"/>
      </w:tblGrid>
      <w:tr w14:paraId="1237D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14:paraId="022FAD38">
            <w:pPr>
              <w:widowControl/>
              <w:adjustRightInd w:val="0"/>
              <w:snapToGrid w:val="0"/>
              <w:jc w:val="center"/>
              <w:rPr>
                <w:rFonts w:ascii="Times New Roman" w:hAnsi="Times New Roman" w:cs="Times New Roman"/>
                <w:b/>
                <w:kern w:val="0"/>
                <w:sz w:val="24"/>
                <w:szCs w:val="24"/>
              </w:rPr>
            </w:pPr>
            <w:r>
              <w:rPr>
                <w:rFonts w:hint="eastAsia" w:ascii="Times New Roman" w:hAnsi="Times New Roman" w:cs="Times New Roman"/>
                <w:b/>
                <w:kern w:val="0"/>
                <w:sz w:val="24"/>
                <w:szCs w:val="24"/>
              </w:rPr>
              <w:t>目标来源</w:t>
            </w:r>
          </w:p>
        </w:tc>
        <w:tc>
          <w:tcPr>
            <w:tcW w:w="3261" w:type="dxa"/>
            <w:vAlign w:val="center"/>
          </w:tcPr>
          <w:p w14:paraId="090E10E1">
            <w:pPr>
              <w:widowControl/>
              <w:adjustRightInd w:val="0"/>
              <w:snapToGrid w:val="0"/>
              <w:jc w:val="center"/>
              <w:rPr>
                <w:rFonts w:ascii="Times New Roman" w:hAnsi="Times New Roman" w:cs="Times New Roman"/>
                <w:b/>
                <w:kern w:val="0"/>
                <w:sz w:val="24"/>
                <w:szCs w:val="24"/>
              </w:rPr>
            </w:pPr>
            <w:r>
              <w:rPr>
                <w:rFonts w:hint="eastAsia" w:ascii="Times New Roman" w:hAnsi="Times New Roman" w:cs="Times New Roman"/>
                <w:b/>
                <w:kern w:val="0"/>
                <w:sz w:val="24"/>
                <w:szCs w:val="24"/>
              </w:rPr>
              <w:t>说明</w:t>
            </w:r>
          </w:p>
        </w:tc>
        <w:tc>
          <w:tcPr>
            <w:tcW w:w="3339" w:type="dxa"/>
            <w:vAlign w:val="center"/>
          </w:tcPr>
          <w:p w14:paraId="2C7E0C68">
            <w:pPr>
              <w:widowControl/>
              <w:adjustRightInd w:val="0"/>
              <w:snapToGrid w:val="0"/>
              <w:jc w:val="center"/>
              <w:rPr>
                <w:rFonts w:ascii="Times New Roman" w:hAnsi="Times New Roman" w:cs="Times New Roman"/>
                <w:b/>
                <w:kern w:val="0"/>
                <w:sz w:val="24"/>
                <w:szCs w:val="24"/>
              </w:rPr>
            </w:pPr>
            <w:r>
              <w:rPr>
                <w:rFonts w:hint="eastAsia" w:ascii="Times New Roman" w:hAnsi="Times New Roman" w:cs="Times New Roman"/>
                <w:b/>
                <w:kern w:val="0"/>
                <w:sz w:val="24"/>
                <w:szCs w:val="24"/>
              </w:rPr>
              <w:t>示例</w:t>
            </w:r>
          </w:p>
        </w:tc>
      </w:tr>
      <w:tr w14:paraId="0E96C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14:paraId="49794029">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lang w:bidi="ar"/>
              </w:rPr>
              <w:t>法律法规、国家标准等要求披露的目标</w:t>
            </w:r>
          </w:p>
        </w:tc>
        <w:tc>
          <w:tcPr>
            <w:tcW w:w="3261" w:type="dxa"/>
            <w:vAlign w:val="center"/>
          </w:tcPr>
          <w:p w14:paraId="4623D740">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在一些可持续发展议题方面，公司根据法律法规</w:t>
            </w:r>
            <w:r>
              <w:rPr>
                <w:rFonts w:hint="eastAsia" w:ascii="Times New Roman" w:hAnsi="Times New Roman" w:cs="Times New Roman"/>
                <w:kern w:val="0"/>
                <w:sz w:val="24"/>
                <w:szCs w:val="24"/>
                <w:lang w:bidi="ar"/>
              </w:rPr>
              <w:t>、国家标准等</w:t>
            </w:r>
            <w:r>
              <w:rPr>
                <w:rFonts w:hint="eastAsia" w:ascii="Times New Roman" w:hAnsi="Times New Roman" w:cs="Times New Roman"/>
                <w:kern w:val="0"/>
                <w:sz w:val="24"/>
                <w:szCs w:val="24"/>
              </w:rPr>
              <w:t>要求需要披露的目标，这类目标通常具有议题特征或行业特征。</w:t>
            </w:r>
          </w:p>
        </w:tc>
        <w:tc>
          <w:tcPr>
            <w:tcW w:w="3339" w:type="dxa"/>
            <w:vAlign w:val="center"/>
          </w:tcPr>
          <w:p w14:paraId="3D24FB92">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例如，国务院办公厅《加快构建碳排放双控制度体系工作方案》提出，“建立地方碳排放目标评价考核制度，各省份可进一步细化分解碳排放双控指标，压实地市及重点企业控排减排责任。”在该政策下，部分企业可制定并披露相关法律法规要求的碳排放目标。</w:t>
            </w:r>
          </w:p>
        </w:tc>
      </w:tr>
      <w:tr w14:paraId="3E667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96" w:type="dxa"/>
            <w:vAlign w:val="center"/>
          </w:tcPr>
          <w:p w14:paraId="1172CAE5">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lang w:bidi="ar"/>
              </w:rPr>
              <w:t>《指引》要求披露的目标</w:t>
            </w:r>
          </w:p>
        </w:tc>
        <w:tc>
          <w:tcPr>
            <w:tcW w:w="3261" w:type="dxa"/>
            <w:vAlign w:val="center"/>
          </w:tcPr>
          <w:p w14:paraId="3D6E2B53">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lang w:bidi="ar"/>
              </w:rPr>
              <w:t>《指引》要求披露的目标包括：减排目标、主要污染物减排目标、废弃物减排目标、能源节约目标、水资源节约目标、循环经济目标、科技创新目标以及供应链风险管理目标等。《指引》要求披露的目标详见各议题指南。</w:t>
            </w:r>
          </w:p>
        </w:tc>
        <w:tc>
          <w:tcPr>
            <w:tcW w:w="3339" w:type="dxa"/>
            <w:vAlign w:val="center"/>
          </w:tcPr>
          <w:p w14:paraId="71A60BC3">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lang w:bidi="ar"/>
              </w:rPr>
              <w:t>例如，根据运营所在地子公司的核定排污量，设定在此基础上的百分比减排目标。</w:t>
            </w:r>
          </w:p>
        </w:tc>
      </w:tr>
      <w:tr w14:paraId="4172D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96" w:type="dxa"/>
            <w:vAlign w:val="center"/>
          </w:tcPr>
          <w:p w14:paraId="49B73EBA">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公司自身需要设定的目标</w:t>
            </w:r>
          </w:p>
        </w:tc>
        <w:tc>
          <w:tcPr>
            <w:tcW w:w="3261" w:type="dxa"/>
            <w:vAlign w:val="center"/>
          </w:tcPr>
          <w:p w14:paraId="664C4B6D">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公司用于跟踪可持续发展相关行动效果的目标，可参考国际组织及倡议、企业外部要求（如客户）、企业自身战略目标、同业企业目标等设定。</w:t>
            </w:r>
          </w:p>
        </w:tc>
        <w:tc>
          <w:tcPr>
            <w:tcW w:w="3339" w:type="dxa"/>
            <w:vAlign w:val="center"/>
          </w:tcPr>
          <w:p w14:paraId="69F41899">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例如，公司将联合国可持续发展目标（</w:t>
            </w:r>
            <w:r>
              <w:rPr>
                <w:rFonts w:ascii="Times New Roman" w:hAnsi="Times New Roman" w:cs="Times New Roman"/>
                <w:kern w:val="0"/>
                <w:sz w:val="24"/>
                <w:szCs w:val="24"/>
                <w:lang w:bidi="ar"/>
              </w:rPr>
              <w:t>SDGs</w:t>
            </w:r>
            <w:r>
              <w:rPr>
                <w:rFonts w:hint="eastAsia" w:ascii="Times New Roman" w:hAnsi="Times New Roman" w:cs="Times New Roman"/>
                <w:kern w:val="0"/>
                <w:sz w:val="24"/>
                <w:szCs w:val="24"/>
                <w:lang w:bidi="ar"/>
              </w:rPr>
              <w:t>）融入公司战略，设定相关目标。</w:t>
            </w:r>
          </w:p>
        </w:tc>
      </w:tr>
    </w:tbl>
    <w:p w14:paraId="13D7A286">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如果公司因为尚未设定可持续发展目标而无法披露《指引》所要求披露的相关信息，公司可以对此事实进行披露，说明尚未设定目标的理由，并说明拟设定目标的时间范围，以及是否设定了相关指标以监测和管理公司可持续发展绩效。</w:t>
      </w:r>
    </w:p>
    <w:p w14:paraId="3687E20C">
      <w:pPr>
        <w:widowControl/>
        <w:adjustRightInd w:val="0"/>
        <w:snapToGrid w:val="0"/>
        <w:spacing w:line="560" w:lineRule="exact"/>
        <w:ind w:firstLine="602" w:firstLineChars="200"/>
        <w:outlineLvl w:val="2"/>
        <w:rPr>
          <w:rFonts w:ascii="Times New Roman" w:hAnsi="Times New Roman" w:cs="Times New Roman"/>
          <w:b/>
          <w:bCs/>
          <w:szCs w:val="30"/>
          <w:lang w:bidi="ar"/>
        </w:rPr>
      </w:pPr>
      <w:bookmarkStart w:id="349" w:name="_Toc180165253"/>
      <w:bookmarkStart w:id="350" w:name="_Toc18936"/>
      <w:bookmarkStart w:id="351" w:name="_Toc12805"/>
      <w:bookmarkStart w:id="352" w:name="_Toc22253"/>
      <w:bookmarkStart w:id="353" w:name="_Toc181730972"/>
      <w:bookmarkStart w:id="354" w:name="_Toc187328642"/>
      <w:bookmarkStart w:id="355" w:name="_Toc3947"/>
      <w:r>
        <w:rPr>
          <w:rFonts w:hint="eastAsia" w:ascii="Times New Roman" w:hAnsi="Times New Roman" w:cs="Times New Roman"/>
          <w:b/>
          <w:bCs/>
          <w:szCs w:val="30"/>
          <w:lang w:bidi="ar"/>
        </w:rPr>
        <w:t>（二）目标</w:t>
      </w:r>
      <w:bookmarkEnd w:id="349"/>
      <w:r>
        <w:rPr>
          <w:rFonts w:hint="eastAsia" w:ascii="Times New Roman" w:hAnsi="Times New Roman" w:cs="Times New Roman"/>
          <w:b/>
          <w:bCs/>
          <w:szCs w:val="30"/>
          <w:lang w:bidi="ar"/>
        </w:rPr>
        <w:t>管理</w:t>
      </w:r>
      <w:bookmarkEnd w:id="350"/>
      <w:bookmarkEnd w:id="351"/>
      <w:bookmarkEnd w:id="352"/>
      <w:bookmarkEnd w:id="353"/>
      <w:bookmarkEnd w:id="354"/>
      <w:bookmarkEnd w:id="355"/>
    </w:p>
    <w:p w14:paraId="41AAFFAD">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kern w:val="0"/>
          <w:szCs w:val="30"/>
        </w:rPr>
        <w:t>公司可以监测并定期审查目标实现进展。若目标已实现，建议公司评估目标实现的原因，结合公司人员及业务发展战略规划，评估是否立即制定新的目标；若目标未按预期进度实现，建议公司分析原因、采取相关措施改善提升，以实现目标。</w:t>
      </w:r>
    </w:p>
    <w:p w14:paraId="3794A8AA">
      <w:pPr>
        <w:widowControl/>
        <w:adjustRightInd w:val="0"/>
        <w:snapToGrid w:val="0"/>
        <w:spacing w:line="560" w:lineRule="exact"/>
        <w:ind w:firstLine="600" w:firstLineChars="200"/>
        <w:rPr>
          <w:rFonts w:ascii="Times New Roman" w:hAnsi="Times New Roman" w:cs="Times New Roman"/>
          <w:kern w:val="0"/>
          <w:szCs w:val="30"/>
        </w:rPr>
      </w:pPr>
      <w:r>
        <w:rPr>
          <w:rFonts w:hint="eastAsia" w:ascii="Times New Roman" w:hAnsi="Times New Roman" w:cs="Times New Roman"/>
          <w:kern w:val="0"/>
          <w:szCs w:val="30"/>
        </w:rPr>
        <w:t>关于目标的设定和实现进展的披露，公司可参考“第七章 报告披露”相关内容。</w:t>
      </w:r>
    </w:p>
    <w:p w14:paraId="6E2C4130">
      <w:pPr>
        <w:widowControl/>
        <w:adjustRightInd w:val="0"/>
        <w:snapToGrid w:val="0"/>
        <w:spacing w:before="156" w:beforeLines="50"/>
        <w:ind w:firstLine="600" w:firstLineChars="200"/>
        <w:outlineLvl w:val="1"/>
        <w:rPr>
          <w:rFonts w:ascii="Times New Roman" w:hAnsi="Times New Roman" w:eastAsia="黑体" w:cs="Times New Roman"/>
          <w:szCs w:val="30"/>
          <w:lang w:bidi="ar"/>
        </w:rPr>
      </w:pPr>
      <w:bookmarkStart w:id="356" w:name="_Toc180164983"/>
      <w:bookmarkStart w:id="357" w:name="_Toc18415"/>
      <w:bookmarkStart w:id="358" w:name="_Toc11288"/>
      <w:bookmarkStart w:id="359" w:name="_Toc181730973"/>
      <w:bookmarkStart w:id="360" w:name="_Toc29026"/>
      <w:bookmarkStart w:id="361" w:name="_Toc187328643"/>
      <w:bookmarkStart w:id="362" w:name="_Toc10469"/>
      <w:r>
        <w:rPr>
          <w:rFonts w:hint="eastAsia" w:ascii="Times New Roman" w:hAnsi="Times New Roman" w:eastAsia="黑体" w:cs="Times New Roman"/>
          <w:szCs w:val="30"/>
          <w:lang w:bidi="ar"/>
        </w:rPr>
        <w:t>二、设定和管理指标</w:t>
      </w:r>
      <w:bookmarkEnd w:id="356"/>
      <w:bookmarkEnd w:id="357"/>
      <w:bookmarkEnd w:id="358"/>
      <w:bookmarkEnd w:id="359"/>
      <w:bookmarkEnd w:id="360"/>
      <w:bookmarkEnd w:id="361"/>
      <w:bookmarkEnd w:id="362"/>
    </w:p>
    <w:p w14:paraId="34893159">
      <w:pPr>
        <w:widowControl/>
        <w:adjustRightInd w:val="0"/>
        <w:snapToGrid w:val="0"/>
        <w:spacing w:line="560" w:lineRule="exact"/>
        <w:ind w:firstLine="602" w:firstLineChars="200"/>
        <w:outlineLvl w:val="2"/>
        <w:rPr>
          <w:rFonts w:ascii="Times New Roman" w:hAnsi="Times New Roman" w:cs="Times New Roman"/>
          <w:b/>
          <w:bCs/>
          <w:szCs w:val="30"/>
        </w:rPr>
      </w:pPr>
      <w:bookmarkStart w:id="363" w:name="_Toc180165255"/>
      <w:bookmarkStart w:id="364" w:name="_Toc27360"/>
      <w:bookmarkStart w:id="365" w:name="_Toc11427"/>
      <w:bookmarkStart w:id="366" w:name="_Toc187328644"/>
      <w:bookmarkStart w:id="367" w:name="_Toc9431"/>
      <w:bookmarkStart w:id="368" w:name="_Toc5072"/>
      <w:bookmarkStart w:id="369" w:name="_Toc181730974"/>
      <w:r>
        <w:rPr>
          <w:rFonts w:hint="eastAsia" w:ascii="Times New Roman" w:hAnsi="Times New Roman" w:cs="Times New Roman"/>
          <w:b/>
          <w:bCs/>
          <w:szCs w:val="30"/>
        </w:rPr>
        <w:t>（一）设定指标</w:t>
      </w:r>
      <w:bookmarkEnd w:id="363"/>
      <w:bookmarkEnd w:id="364"/>
      <w:bookmarkEnd w:id="365"/>
      <w:bookmarkEnd w:id="366"/>
      <w:bookmarkEnd w:id="367"/>
      <w:bookmarkEnd w:id="368"/>
      <w:bookmarkEnd w:id="369"/>
    </w:p>
    <w:p w14:paraId="0B91B527">
      <w:pPr>
        <w:widowControl/>
        <w:adjustRightInd w:val="0"/>
        <w:snapToGrid w:val="0"/>
        <w:spacing w:line="560" w:lineRule="exact"/>
        <w:ind w:firstLine="600" w:firstLineChars="200"/>
        <w:rPr>
          <w:rFonts w:ascii="Times New Roman" w:hAnsi="Times New Roman" w:cs="Times New Roman"/>
          <w:szCs w:val="30"/>
        </w:rPr>
      </w:pPr>
      <w:bookmarkStart w:id="370" w:name="OLE_LINK11"/>
      <w:r>
        <w:rPr>
          <w:rFonts w:hint="eastAsia" w:ascii="Times New Roman" w:hAnsi="Times New Roman" w:cs="Times New Roman"/>
          <w:szCs w:val="30"/>
        </w:rPr>
        <w:t>公司可以披露根据相关法律法规、《指引》要求以及自身需要设定的可持续发展相关指标。</w:t>
      </w:r>
      <w:bookmarkEnd w:id="370"/>
      <w:bookmarkStart w:id="371" w:name="OLE_LINK13"/>
      <w:r>
        <w:rPr>
          <w:rFonts w:hint="eastAsia" w:ascii="Times New Roman" w:hAnsi="Times New Roman" w:cs="Times New Roman"/>
          <w:szCs w:val="30"/>
        </w:rPr>
        <w:t>公司可根据所属行业特点披露具有行业差异化的指标。指标来源、说明及参考示例如下表所示。</w:t>
      </w:r>
    </w:p>
    <w:p w14:paraId="4BCE5362">
      <w:pPr>
        <w:widowControl/>
        <w:adjustRightInd w:val="0"/>
        <w:snapToGrid w:val="0"/>
        <w:spacing w:line="560" w:lineRule="exact"/>
        <w:jc w:val="center"/>
        <w:rPr>
          <w:rFonts w:ascii="Times New Roman" w:hAnsi="Times New Roman" w:eastAsia="黑体" w:cs="Times New Roman"/>
          <w:sz w:val="24"/>
          <w:szCs w:val="24"/>
          <w:lang w:bidi="ar"/>
        </w:rPr>
      </w:pPr>
    </w:p>
    <w:p w14:paraId="48A176DC">
      <w:pPr>
        <w:widowControl/>
        <w:adjustRightInd w:val="0"/>
        <w:snapToGrid w:val="0"/>
        <w:spacing w:line="560" w:lineRule="exact"/>
        <w:jc w:val="center"/>
        <w:rPr>
          <w:rFonts w:ascii="Times New Roman" w:hAnsi="Times New Roman" w:cs="Times New Roman"/>
          <w:szCs w:val="30"/>
        </w:rPr>
      </w:pPr>
      <w:r>
        <w:rPr>
          <w:rFonts w:hint="eastAsia" w:ascii="Times New Roman" w:hAnsi="Times New Roman" w:eastAsia="黑体" w:cs="Times New Roman"/>
          <w:sz w:val="24"/>
          <w:szCs w:val="24"/>
          <w:lang w:bidi="ar"/>
        </w:rPr>
        <w:t>表19：指标来源、说明及参考示例</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2835"/>
        <w:gridCol w:w="3481"/>
      </w:tblGrid>
      <w:tr w14:paraId="74AD2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80" w:type="dxa"/>
          </w:tcPr>
          <w:p w14:paraId="21B4C9E3">
            <w:pPr>
              <w:widowControl/>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指标来源</w:t>
            </w:r>
          </w:p>
        </w:tc>
        <w:tc>
          <w:tcPr>
            <w:tcW w:w="2835" w:type="dxa"/>
          </w:tcPr>
          <w:p w14:paraId="34458807">
            <w:pPr>
              <w:widowControl/>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说明</w:t>
            </w:r>
          </w:p>
        </w:tc>
        <w:tc>
          <w:tcPr>
            <w:tcW w:w="3481" w:type="dxa"/>
          </w:tcPr>
          <w:p w14:paraId="08E4D823">
            <w:pPr>
              <w:widowControl/>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示例</w:t>
            </w:r>
          </w:p>
        </w:tc>
      </w:tr>
      <w:tr w14:paraId="18B16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80" w:type="dxa"/>
            <w:vAlign w:val="center"/>
          </w:tcPr>
          <w:p w14:paraId="28BC075F">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lang w:bidi="ar"/>
              </w:rPr>
              <w:t>法律法规、国家标准等要求披露的指标</w:t>
            </w:r>
          </w:p>
        </w:tc>
        <w:tc>
          <w:tcPr>
            <w:tcW w:w="2835" w:type="dxa"/>
            <w:vAlign w:val="center"/>
          </w:tcPr>
          <w:p w14:paraId="7103E5C5">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在一些可持续发展议题方面，公司根据法律法规</w:t>
            </w:r>
            <w:r>
              <w:rPr>
                <w:rFonts w:hint="eastAsia" w:ascii="Times New Roman" w:hAnsi="Times New Roman" w:cs="Times New Roman"/>
                <w:kern w:val="0"/>
                <w:sz w:val="24"/>
                <w:szCs w:val="24"/>
                <w:lang w:bidi="ar"/>
              </w:rPr>
              <w:t>、国家标准等</w:t>
            </w:r>
            <w:r>
              <w:rPr>
                <w:rFonts w:hint="eastAsia" w:ascii="Times New Roman" w:hAnsi="Times New Roman" w:cs="Times New Roman"/>
                <w:kern w:val="0"/>
                <w:sz w:val="24"/>
                <w:szCs w:val="24"/>
              </w:rPr>
              <w:t>要求需要披露的指标，这类指标通常具有议题特征或行业特征。</w:t>
            </w:r>
          </w:p>
        </w:tc>
        <w:tc>
          <w:tcPr>
            <w:tcW w:w="3481" w:type="dxa"/>
          </w:tcPr>
          <w:p w14:paraId="3530C89A">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lang w:bidi="ar"/>
              </w:rPr>
              <w:t>例如，根据生态环境部《企业环境信息依法披露管理办法》第七条的规定，“下列企业应当按照本办法的规定披露环境信息：</w:t>
            </w:r>
            <w:r>
              <w:rPr>
                <w:rFonts w:hint="eastAsia" w:ascii="Times New Roman" w:hAnsi="Times New Roman" w:cs="Times New Roman"/>
                <w:kern w:val="0"/>
                <w:sz w:val="24"/>
                <w:szCs w:val="24"/>
              </w:rPr>
              <w:t>（一）重点排污单位；（二）实施强制性清洁生产审核的企业；（三）符合本办法第八条规定的上市公司及合并报表范围内的各级子公司；（四）符合本办法第八条规定的发行企业债券、公司债券、非金融企业债务融资工具的企业；（五）法律法规规定的其他应当披露环境信息的企业。”</w:t>
            </w:r>
          </w:p>
          <w:p w14:paraId="15AD87ED">
            <w:pPr>
              <w:widowControl/>
              <w:adjustRightInd w:val="0"/>
              <w:snapToGrid w:val="0"/>
              <w:rPr>
                <w:rFonts w:ascii="Times New Roman" w:hAnsi="Times New Roman" w:cs="Times New Roman"/>
                <w:kern w:val="0"/>
                <w:sz w:val="24"/>
                <w:szCs w:val="24"/>
                <w:lang w:bidi="ar"/>
              </w:rPr>
            </w:pPr>
            <w:r>
              <w:rPr>
                <w:rFonts w:ascii="Times New Roman" w:hAnsi="Times New Roman" w:cs="Times New Roman"/>
                <w:kern w:val="0"/>
                <w:sz w:val="24"/>
                <w:szCs w:val="24"/>
              </w:rPr>
              <w:t xml:space="preserve">   </w:t>
            </w:r>
            <w:r>
              <w:rPr>
                <w:rFonts w:hint="eastAsia" w:ascii="Times New Roman" w:hAnsi="Times New Roman" w:cs="Times New Roman"/>
                <w:kern w:val="0"/>
                <w:sz w:val="24"/>
                <w:szCs w:val="24"/>
              </w:rPr>
              <w:t>因此，公司可结合相关要求设立污染物的种类、名称、排放总量、核定排放总量、超标排放情况、环保绩效等级情况等指标。</w:t>
            </w:r>
          </w:p>
        </w:tc>
      </w:tr>
      <w:tr w14:paraId="78F4E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80" w:type="dxa"/>
            <w:vAlign w:val="center"/>
          </w:tcPr>
          <w:p w14:paraId="62DD957B">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lang w:bidi="ar"/>
              </w:rPr>
              <w:t>《指引》要求披露的指标</w:t>
            </w:r>
          </w:p>
        </w:tc>
        <w:tc>
          <w:tcPr>
            <w:tcW w:w="2835" w:type="dxa"/>
          </w:tcPr>
          <w:p w14:paraId="55FD13A8">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lang w:bidi="ar"/>
              </w:rPr>
              <w:t>《指引》要求披露的指标包括：温室气体排放指标、污染物排放指标、有害及无害废弃物指标、能源消耗指标、水资源使用指标、乡村振兴投入指标、应收账款相关指标、员工相关指标等。《指引》要求披露的指标详见各议题指南。</w:t>
            </w:r>
          </w:p>
        </w:tc>
        <w:tc>
          <w:tcPr>
            <w:tcW w:w="3481" w:type="dxa"/>
            <w:vAlign w:val="center"/>
          </w:tcPr>
          <w:p w14:paraId="58CC25E9">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lang w:bidi="ar"/>
              </w:rPr>
              <w:t>例如，披露主体报告期末应付账款（含应付票据）余额超过</w:t>
            </w:r>
            <w:r>
              <w:rPr>
                <w:rFonts w:ascii="Times New Roman" w:hAnsi="Times New Roman" w:cs="Times New Roman"/>
                <w:kern w:val="0"/>
                <w:sz w:val="24"/>
                <w:szCs w:val="24"/>
                <w:lang w:bidi="ar"/>
              </w:rPr>
              <w:t>300</w:t>
            </w:r>
            <w:r>
              <w:rPr>
                <w:rFonts w:hint="eastAsia" w:ascii="Times New Roman" w:hAnsi="Times New Roman" w:cs="Times New Roman"/>
                <w:kern w:val="0"/>
                <w:sz w:val="24"/>
                <w:szCs w:val="24"/>
                <w:lang w:bidi="ar"/>
              </w:rPr>
              <w:t>亿元或占总资产的比重超过</w:t>
            </w:r>
            <w:r>
              <w:rPr>
                <w:rFonts w:ascii="Times New Roman" w:hAnsi="Times New Roman" w:cs="Times New Roman"/>
                <w:kern w:val="0"/>
                <w:sz w:val="24"/>
                <w:szCs w:val="24"/>
                <w:lang w:bidi="ar"/>
              </w:rPr>
              <w:t>50%</w:t>
            </w:r>
            <w:r>
              <w:rPr>
                <w:rFonts w:hint="eastAsia" w:ascii="Times New Roman" w:hAnsi="Times New Roman" w:cs="Times New Roman"/>
                <w:kern w:val="0"/>
                <w:sz w:val="24"/>
                <w:szCs w:val="24"/>
                <w:lang w:bidi="ar"/>
              </w:rPr>
              <w:t>的，应当披露报告期末逾期未支付款项的金额，以及拟采取的解决方案。公司可以设立逾期未支付款项、应付账款占总资产的比重等指标。</w:t>
            </w:r>
          </w:p>
        </w:tc>
      </w:tr>
      <w:tr w14:paraId="15D68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980" w:type="dxa"/>
            <w:vAlign w:val="center"/>
          </w:tcPr>
          <w:p w14:paraId="5DA17110">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公司自身需要设定的指标</w:t>
            </w:r>
          </w:p>
        </w:tc>
        <w:tc>
          <w:tcPr>
            <w:tcW w:w="2835" w:type="dxa"/>
          </w:tcPr>
          <w:p w14:paraId="70824736">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公司用于计量和监控其可持续发展相关影响、风险和机遇的指标，以及衡量可持续发展相关影响、风险和机遇管理业绩和效果的指标，包括与特定业务模式、活动或者其他表明企业具有某一行业的共同特征相关的指标。</w:t>
            </w:r>
          </w:p>
        </w:tc>
        <w:tc>
          <w:tcPr>
            <w:tcW w:w="3481" w:type="dxa"/>
            <w:vAlign w:val="center"/>
          </w:tcPr>
          <w:p w14:paraId="7F354AFC">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例如，汽车行业企业所关注和设定的具有行业特征的指标，如自身或供应链企业通过</w:t>
            </w:r>
            <w:r>
              <w:rPr>
                <w:rFonts w:ascii="Times New Roman" w:hAnsi="Times New Roman" w:cs="Times New Roman"/>
                <w:kern w:val="0"/>
                <w:sz w:val="24"/>
                <w:szCs w:val="24"/>
                <w:lang w:bidi="ar"/>
              </w:rPr>
              <w:t xml:space="preserve">IATF 16949 </w:t>
            </w:r>
            <w:r>
              <w:rPr>
                <w:rFonts w:hint="eastAsia" w:ascii="Times New Roman" w:hAnsi="Times New Roman" w:cs="Times New Roman"/>
                <w:kern w:val="0"/>
                <w:sz w:val="24"/>
                <w:szCs w:val="24"/>
                <w:lang w:bidi="ar"/>
              </w:rPr>
              <w:t>汽车行业质量管理体系认证的百分比等。</w:t>
            </w:r>
          </w:p>
        </w:tc>
      </w:tr>
    </w:tbl>
    <w:p w14:paraId="657CC2A8">
      <w:pPr>
        <w:widowControl/>
        <w:adjustRightInd w:val="0"/>
        <w:snapToGrid w:val="0"/>
        <w:spacing w:line="560" w:lineRule="exact"/>
        <w:ind w:firstLine="600" w:firstLineChars="200"/>
        <w:rPr>
          <w:rFonts w:ascii="Times New Roman" w:hAnsi="Times New Roman" w:eastAsia="黑体" w:cs="Times New Roman"/>
          <w:bCs/>
          <w:sz w:val="28"/>
          <w:szCs w:val="28"/>
        </w:rPr>
      </w:pPr>
      <w:r>
        <w:rPr>
          <w:rFonts w:hint="eastAsia" w:ascii="Times New Roman" w:hAnsi="Times New Roman" w:cs="Times New Roman"/>
          <w:kern w:val="0"/>
          <w:szCs w:val="30"/>
        </w:rPr>
        <w:t>关于指标的设定和披露，公司可参考“第七章</w:t>
      </w:r>
      <w:r>
        <w:rPr>
          <w:rFonts w:ascii="Times New Roman" w:hAnsi="Times New Roman" w:cs="Times New Roman"/>
          <w:kern w:val="0"/>
          <w:szCs w:val="30"/>
        </w:rPr>
        <w:t xml:space="preserve"> </w:t>
      </w:r>
      <w:r>
        <w:rPr>
          <w:rFonts w:hint="eastAsia" w:ascii="Times New Roman" w:hAnsi="Times New Roman" w:cs="Times New Roman"/>
          <w:kern w:val="0"/>
          <w:szCs w:val="30"/>
        </w:rPr>
        <w:t>报告披露”相关内容。</w:t>
      </w:r>
    </w:p>
    <w:bookmarkEnd w:id="371"/>
    <w:p w14:paraId="7769BBE8">
      <w:pPr>
        <w:widowControl/>
        <w:adjustRightInd w:val="0"/>
        <w:snapToGrid w:val="0"/>
        <w:spacing w:line="560" w:lineRule="exact"/>
        <w:ind w:firstLine="602" w:firstLineChars="200"/>
        <w:outlineLvl w:val="2"/>
        <w:rPr>
          <w:rFonts w:ascii="Times New Roman" w:hAnsi="Times New Roman" w:cs="Times New Roman"/>
          <w:b/>
          <w:bCs/>
          <w:szCs w:val="30"/>
        </w:rPr>
      </w:pPr>
      <w:bookmarkStart w:id="372" w:name="_Toc13286"/>
      <w:bookmarkStart w:id="373" w:name="_Toc181730975"/>
      <w:bookmarkStart w:id="374" w:name="_Toc14956"/>
      <w:bookmarkStart w:id="375" w:name="_Toc180165256"/>
      <w:bookmarkStart w:id="376" w:name="_Toc30684"/>
      <w:bookmarkStart w:id="377" w:name="_Toc72"/>
      <w:bookmarkStart w:id="378" w:name="_Toc187328645"/>
      <w:r>
        <w:rPr>
          <w:rFonts w:hint="eastAsia" w:ascii="Times New Roman" w:hAnsi="Times New Roman" w:cs="Times New Roman"/>
          <w:b/>
          <w:bCs/>
          <w:szCs w:val="30"/>
        </w:rPr>
        <w:t>（二）指标</w:t>
      </w:r>
      <w:bookmarkEnd w:id="372"/>
      <w:bookmarkEnd w:id="373"/>
      <w:bookmarkEnd w:id="374"/>
      <w:bookmarkEnd w:id="375"/>
      <w:bookmarkEnd w:id="376"/>
      <w:bookmarkEnd w:id="377"/>
      <w:r>
        <w:rPr>
          <w:rFonts w:hint="eastAsia" w:ascii="Times New Roman" w:hAnsi="Times New Roman" w:cs="Times New Roman"/>
          <w:b/>
          <w:bCs/>
          <w:szCs w:val="30"/>
        </w:rPr>
        <w:t>管理</w:t>
      </w:r>
      <w:bookmarkEnd w:id="378"/>
    </w:p>
    <w:p w14:paraId="0603426E">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公司可以在内部建立</w:t>
      </w:r>
      <w:r>
        <w:rPr>
          <w:rFonts w:ascii="Times New Roman" w:hAnsi="Times New Roman" w:cs="Times New Roman"/>
          <w:szCs w:val="30"/>
          <w:lang w:bidi="ar"/>
        </w:rPr>
        <w:t>ESG</w:t>
      </w:r>
      <w:r>
        <w:rPr>
          <w:rFonts w:hint="eastAsia" w:ascii="Times New Roman" w:hAnsi="Times New Roman" w:cs="Times New Roman"/>
          <w:szCs w:val="30"/>
          <w:lang w:bidi="ar"/>
        </w:rPr>
        <w:t>指标管理体系，对</w:t>
      </w:r>
      <w:r>
        <w:rPr>
          <w:rFonts w:ascii="Times New Roman" w:hAnsi="Times New Roman" w:cs="Times New Roman"/>
          <w:szCs w:val="30"/>
          <w:lang w:bidi="ar"/>
        </w:rPr>
        <w:t>ESG</w:t>
      </w:r>
      <w:r>
        <w:rPr>
          <w:rFonts w:hint="eastAsia" w:ascii="Times New Roman" w:hAnsi="Times New Roman" w:cs="Times New Roman"/>
          <w:szCs w:val="30"/>
          <w:lang w:bidi="ar"/>
        </w:rPr>
        <w:t>指标开展体系化、标准化管理，明确管理架构及职责、指标填报单位以及指标填报流程、审核流程及频率等内容，形成内部标准操作文件《</w:t>
      </w:r>
      <w:r>
        <w:rPr>
          <w:rFonts w:ascii="Times New Roman" w:hAnsi="Times New Roman" w:cs="Times New Roman"/>
          <w:szCs w:val="30"/>
          <w:lang w:bidi="ar"/>
        </w:rPr>
        <w:t>ESG</w:t>
      </w:r>
      <w:r>
        <w:rPr>
          <w:rFonts w:hint="eastAsia" w:ascii="Times New Roman" w:hAnsi="Times New Roman" w:cs="Times New Roman"/>
          <w:szCs w:val="30"/>
          <w:lang w:bidi="ar"/>
        </w:rPr>
        <w:t>指标管理手册》，内容参考如下。</w:t>
      </w:r>
    </w:p>
    <w:p w14:paraId="2E887D96">
      <w:pPr>
        <w:widowControl/>
        <w:adjustRightInd w:val="0"/>
        <w:snapToGrid w:val="0"/>
        <w:spacing w:line="560" w:lineRule="exact"/>
        <w:jc w:val="center"/>
        <w:rPr>
          <w:rFonts w:ascii="Times New Roman" w:hAnsi="Times New Roman" w:cs="Times New Roman"/>
          <w:szCs w:val="30"/>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2</w:t>
      </w:r>
      <w:r>
        <w:rPr>
          <w:rFonts w:hint="eastAsia" w:ascii="Times New Roman" w:hAnsi="Times New Roman" w:eastAsia="黑体" w:cs="Times New Roman"/>
          <w:sz w:val="24"/>
          <w:szCs w:val="24"/>
          <w:lang w:bidi="ar"/>
        </w:rPr>
        <w:t>0：《</w:t>
      </w:r>
      <w:r>
        <w:rPr>
          <w:rFonts w:ascii="Times New Roman" w:hAnsi="Times New Roman" w:eastAsia="黑体" w:cs="Times New Roman"/>
          <w:sz w:val="24"/>
          <w:szCs w:val="24"/>
          <w:lang w:bidi="ar"/>
        </w:rPr>
        <w:t>ESG</w:t>
      </w:r>
      <w:r>
        <w:rPr>
          <w:rFonts w:hint="eastAsia" w:ascii="Times New Roman" w:hAnsi="Times New Roman" w:eastAsia="黑体" w:cs="Times New Roman"/>
          <w:sz w:val="24"/>
          <w:szCs w:val="24"/>
          <w:lang w:bidi="ar"/>
        </w:rPr>
        <w:t>指标管理手册》大纲参考</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14:paraId="13CA4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57" w:hRule="atLeast"/>
          <w:jc w:val="center"/>
        </w:trPr>
        <w:tc>
          <w:tcPr>
            <w:tcW w:w="8296" w:type="dxa"/>
          </w:tcPr>
          <w:p w14:paraId="109F17D7">
            <w:pPr>
              <w:widowControl/>
              <w:adjustRightInd w:val="0"/>
              <w:snapToGrid w:val="0"/>
              <w:rPr>
                <w:rFonts w:ascii="Times New Roman" w:hAnsi="Times New Roman" w:cs="Times New Roman"/>
                <w:b/>
                <w:bCs/>
                <w:kern w:val="0"/>
                <w:sz w:val="24"/>
                <w:szCs w:val="24"/>
              </w:rPr>
            </w:pPr>
            <w:r>
              <w:rPr>
                <w:rFonts w:hint="eastAsia" w:ascii="Times New Roman" w:hAnsi="Times New Roman" w:cs="Times New Roman"/>
                <w:b/>
                <w:bCs/>
                <w:kern w:val="0"/>
                <w:sz w:val="24"/>
                <w:szCs w:val="24"/>
              </w:rPr>
              <w:t>一、《</w:t>
            </w:r>
            <w:r>
              <w:rPr>
                <w:rFonts w:ascii="Times New Roman" w:hAnsi="Times New Roman" w:cs="Times New Roman"/>
                <w:b/>
                <w:bCs/>
                <w:kern w:val="0"/>
                <w:sz w:val="24"/>
                <w:szCs w:val="24"/>
              </w:rPr>
              <w:t>ESG</w:t>
            </w:r>
            <w:r>
              <w:rPr>
                <w:rFonts w:hint="eastAsia" w:ascii="Times New Roman" w:hAnsi="Times New Roman" w:cs="Times New Roman"/>
                <w:b/>
                <w:bCs/>
                <w:kern w:val="0"/>
                <w:sz w:val="24"/>
                <w:szCs w:val="24"/>
              </w:rPr>
              <w:t>指标管理手册》说明</w:t>
            </w:r>
          </w:p>
          <w:p w14:paraId="754490A0">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背景</w:t>
            </w:r>
          </w:p>
          <w:p w14:paraId="366ACE44">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依据</w:t>
            </w:r>
          </w:p>
          <w:p w14:paraId="182E097D">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修订主要内容（如适用）</w:t>
            </w:r>
          </w:p>
          <w:p w14:paraId="73332C3E">
            <w:pPr>
              <w:widowControl/>
              <w:adjustRightInd w:val="0"/>
              <w:snapToGrid w:val="0"/>
              <w:rPr>
                <w:rFonts w:ascii="Times New Roman" w:hAnsi="Times New Roman" w:cs="Times New Roman"/>
                <w:b/>
                <w:bCs/>
                <w:kern w:val="0"/>
                <w:sz w:val="24"/>
                <w:szCs w:val="24"/>
              </w:rPr>
            </w:pPr>
            <w:r>
              <w:rPr>
                <w:rFonts w:hint="eastAsia" w:ascii="Times New Roman" w:hAnsi="Times New Roman" w:cs="Times New Roman"/>
                <w:b/>
                <w:bCs/>
                <w:kern w:val="0"/>
                <w:sz w:val="24"/>
                <w:szCs w:val="24"/>
              </w:rPr>
              <w:t>二、</w:t>
            </w:r>
            <w:r>
              <w:rPr>
                <w:rFonts w:ascii="Times New Roman" w:hAnsi="Times New Roman" w:cs="Times New Roman"/>
                <w:b/>
                <w:bCs/>
                <w:kern w:val="0"/>
                <w:sz w:val="24"/>
                <w:szCs w:val="24"/>
              </w:rPr>
              <w:t>ESG</w:t>
            </w:r>
            <w:r>
              <w:rPr>
                <w:rFonts w:hint="eastAsia" w:ascii="Times New Roman" w:hAnsi="Times New Roman" w:cs="Times New Roman"/>
                <w:b/>
                <w:bCs/>
                <w:kern w:val="0"/>
                <w:sz w:val="24"/>
                <w:szCs w:val="24"/>
              </w:rPr>
              <w:t>指标管理体系</w:t>
            </w:r>
          </w:p>
          <w:p w14:paraId="51A3C746">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管理架构及职责</w:t>
            </w:r>
          </w:p>
          <w:p w14:paraId="30F9398D">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指标填报单位</w:t>
            </w:r>
          </w:p>
          <w:p w14:paraId="77D41DB3">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指标填报流程、审核流程及频率</w:t>
            </w:r>
          </w:p>
          <w:p w14:paraId="669597BE">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各填报单位指标索引</w:t>
            </w:r>
          </w:p>
          <w:p w14:paraId="203AC57C">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《手册》审查与修订</w:t>
            </w:r>
          </w:p>
          <w:p w14:paraId="226C9236">
            <w:pPr>
              <w:widowControl/>
              <w:adjustRightInd w:val="0"/>
              <w:snapToGrid w:val="0"/>
              <w:rPr>
                <w:rFonts w:ascii="Times New Roman" w:hAnsi="Times New Roman" w:cs="Times New Roman"/>
                <w:b/>
                <w:bCs/>
                <w:kern w:val="0"/>
                <w:sz w:val="24"/>
                <w:szCs w:val="24"/>
              </w:rPr>
            </w:pPr>
            <w:r>
              <w:rPr>
                <w:rFonts w:hint="eastAsia" w:ascii="Times New Roman" w:hAnsi="Times New Roman" w:cs="Times New Roman"/>
                <w:b/>
                <w:bCs/>
                <w:kern w:val="0"/>
                <w:sz w:val="24"/>
                <w:szCs w:val="24"/>
              </w:rPr>
              <w:t>三、</w:t>
            </w:r>
            <w:r>
              <w:rPr>
                <w:rFonts w:ascii="Times New Roman" w:hAnsi="Times New Roman" w:cs="Times New Roman"/>
                <w:b/>
                <w:bCs/>
                <w:kern w:val="0"/>
                <w:sz w:val="24"/>
                <w:szCs w:val="24"/>
              </w:rPr>
              <w:t>ESG</w:t>
            </w:r>
            <w:r>
              <w:rPr>
                <w:rFonts w:hint="eastAsia" w:ascii="Times New Roman" w:hAnsi="Times New Roman" w:cs="Times New Roman"/>
                <w:b/>
                <w:bCs/>
                <w:kern w:val="0"/>
                <w:sz w:val="24"/>
                <w:szCs w:val="24"/>
              </w:rPr>
              <w:t>指标详解</w:t>
            </w:r>
          </w:p>
          <w:p w14:paraId="16AE114C">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（一）环境维度</w:t>
            </w:r>
          </w:p>
          <w:p w14:paraId="45380368">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环境合规管理、能源利用、水资源利用、污染物排放、废弃物处理、应对气候变化、循环经济、生态系统和生物多样性保护议题的指标详解</w:t>
            </w:r>
          </w:p>
          <w:p w14:paraId="70332D5E">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（二）社会维度</w:t>
            </w:r>
          </w:p>
          <w:p w14:paraId="3A78F670">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员工、产品和服务安全与质量、数据安全与客户隐私保护、创新驱动、科技伦理、供应链安全、平等对待中小企业、乡村振兴、社会贡献议题的指标详解</w:t>
            </w:r>
          </w:p>
          <w:p w14:paraId="147B96D8">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（三）可持续发展相关治理维度</w:t>
            </w:r>
          </w:p>
          <w:p w14:paraId="35E0EF2C">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尽职调查、利益相关方沟通、反商业贿赂及反贪污、反不正当竞争议题的指标详解</w:t>
            </w:r>
          </w:p>
          <w:p w14:paraId="614BC3F7">
            <w:pPr>
              <w:widowControl/>
              <w:adjustRightInd w:val="0"/>
              <w:snapToGrid w:val="0"/>
              <w:rPr>
                <w:rFonts w:ascii="Times New Roman" w:hAnsi="Times New Roman" w:cs="Times New Roman"/>
                <w:b/>
                <w:bCs/>
                <w:kern w:val="0"/>
                <w:sz w:val="24"/>
                <w:szCs w:val="24"/>
              </w:rPr>
            </w:pPr>
            <w:r>
              <w:rPr>
                <w:rFonts w:hint="eastAsia" w:ascii="Times New Roman" w:hAnsi="Times New Roman" w:cs="Times New Roman"/>
                <w:b/>
                <w:bCs/>
                <w:kern w:val="0"/>
                <w:sz w:val="24"/>
                <w:szCs w:val="24"/>
              </w:rPr>
              <w:t>附录一、</w:t>
            </w:r>
            <w:r>
              <w:rPr>
                <w:rFonts w:ascii="Times New Roman" w:hAnsi="Times New Roman" w:cs="Times New Roman"/>
                <w:b/>
                <w:bCs/>
                <w:kern w:val="0"/>
                <w:sz w:val="24"/>
                <w:szCs w:val="24"/>
              </w:rPr>
              <w:t>ESG</w:t>
            </w:r>
            <w:r>
              <w:rPr>
                <w:rFonts w:hint="eastAsia" w:ascii="Times New Roman" w:hAnsi="Times New Roman" w:cs="Times New Roman"/>
                <w:b/>
                <w:bCs/>
                <w:kern w:val="0"/>
                <w:sz w:val="24"/>
                <w:szCs w:val="24"/>
              </w:rPr>
              <w:t>指标体系对标索引表</w:t>
            </w:r>
          </w:p>
          <w:p w14:paraId="4133875B">
            <w:pPr>
              <w:widowControl/>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ESG</w:t>
            </w:r>
            <w:r>
              <w:rPr>
                <w:rFonts w:hint="eastAsia" w:ascii="Times New Roman" w:hAnsi="Times New Roman" w:cs="Times New Roman"/>
                <w:kern w:val="0"/>
                <w:sz w:val="24"/>
                <w:szCs w:val="24"/>
              </w:rPr>
              <w:t>指标体系对标《可持续发展报告指引》的索引表</w:t>
            </w:r>
          </w:p>
        </w:tc>
      </w:tr>
      <w:bookmarkEnd w:id="21"/>
      <w:bookmarkEnd w:id="27"/>
      <w:bookmarkEnd w:id="331"/>
      <w:bookmarkEnd w:id="332"/>
      <w:bookmarkEnd w:id="333"/>
      <w:bookmarkEnd w:id="334"/>
    </w:tbl>
    <w:p w14:paraId="35F95DD9">
      <w:pPr>
        <w:widowControl/>
        <w:jc w:val="left"/>
        <w:rPr>
          <w:rFonts w:ascii="Times New Roman" w:hAnsi="Times New Roman" w:eastAsia="黑体" w:cs="Times New Roman"/>
          <w:b/>
          <w:bCs/>
          <w:szCs w:val="30"/>
        </w:rPr>
      </w:pPr>
      <w:bookmarkStart w:id="379" w:name="_Toc180164984"/>
      <w:r>
        <w:rPr>
          <w:rFonts w:ascii="Times New Roman" w:hAnsi="Times New Roman" w:eastAsia="黑体" w:cs="Times New Roman"/>
          <w:b/>
          <w:bCs/>
          <w:szCs w:val="30"/>
        </w:rPr>
        <w:br w:type="page"/>
      </w:r>
    </w:p>
    <w:p w14:paraId="2BF6078D">
      <w:pPr>
        <w:widowControl/>
        <w:adjustRightInd w:val="0"/>
        <w:snapToGrid w:val="0"/>
        <w:spacing w:line="560" w:lineRule="exact"/>
        <w:jc w:val="center"/>
        <w:outlineLvl w:val="0"/>
        <w:rPr>
          <w:rFonts w:ascii="Times New Roman" w:hAnsi="Times New Roman" w:eastAsia="黑体" w:cs="Times New Roman"/>
          <w:b/>
          <w:bCs/>
          <w:szCs w:val="30"/>
        </w:rPr>
      </w:pPr>
      <w:bookmarkStart w:id="380" w:name="_Toc15716"/>
      <w:bookmarkStart w:id="381" w:name="_Toc9777"/>
      <w:bookmarkStart w:id="382" w:name="_Toc9250"/>
      <w:bookmarkStart w:id="383" w:name="_Toc125"/>
      <w:bookmarkStart w:id="384" w:name="_Toc187328646"/>
      <w:bookmarkStart w:id="385" w:name="_Toc181730976"/>
      <w:r>
        <w:rPr>
          <w:rFonts w:hint="eastAsia" w:ascii="Times New Roman" w:hAnsi="Times New Roman" w:eastAsia="黑体" w:cs="Times New Roman"/>
          <w:b/>
          <w:bCs/>
          <w:szCs w:val="30"/>
        </w:rPr>
        <w:t>第七章</w:t>
      </w:r>
      <w:r>
        <w:rPr>
          <w:rFonts w:ascii="Times New Roman" w:hAnsi="Times New Roman" w:eastAsia="黑体" w:cs="Times New Roman"/>
          <w:b/>
          <w:bCs/>
          <w:szCs w:val="30"/>
        </w:rPr>
        <w:t xml:space="preserve"> </w:t>
      </w:r>
      <w:bookmarkEnd w:id="379"/>
      <w:r>
        <w:rPr>
          <w:rFonts w:hint="eastAsia" w:ascii="Times New Roman" w:hAnsi="Times New Roman" w:eastAsia="黑体" w:cs="Times New Roman"/>
          <w:b/>
          <w:bCs/>
          <w:szCs w:val="30"/>
        </w:rPr>
        <w:t>报告披露</w:t>
      </w:r>
      <w:bookmarkEnd w:id="380"/>
      <w:bookmarkEnd w:id="381"/>
      <w:bookmarkEnd w:id="382"/>
      <w:bookmarkEnd w:id="383"/>
      <w:bookmarkEnd w:id="384"/>
      <w:bookmarkEnd w:id="385"/>
    </w:p>
    <w:p w14:paraId="32578511">
      <w:pPr>
        <w:widowControl/>
        <w:adjustRightInd w:val="0"/>
        <w:snapToGrid w:val="0"/>
        <w:spacing w:line="560" w:lineRule="exact"/>
        <w:ind w:firstLine="600" w:firstLineChars="200"/>
        <w:rPr>
          <w:rFonts w:ascii="Times New Roman" w:hAnsi="Times New Roman" w:cs="Times New Roman"/>
          <w:szCs w:val="30"/>
          <w:lang w:bidi="ar"/>
        </w:rPr>
      </w:pPr>
      <w:bookmarkStart w:id="386" w:name="_Toc15055"/>
      <w:bookmarkStart w:id="387" w:name="_Toc9247"/>
      <w:bookmarkStart w:id="388" w:name="_Toc4012"/>
      <w:r>
        <w:rPr>
          <w:rFonts w:hint="eastAsia" w:ascii="Times New Roman" w:hAnsi="Times New Roman" w:cs="Times New Roman"/>
          <w:szCs w:val="30"/>
          <w:lang w:bidi="ar"/>
        </w:rPr>
        <w:t>在可持续发展报告</w:t>
      </w:r>
      <w:r>
        <w:rPr>
          <w:rFonts w:ascii="Times New Roman" w:hAnsi="Times New Roman" w:cs="Times New Roman"/>
          <w:szCs w:val="30"/>
          <w:lang w:bidi="ar"/>
        </w:rPr>
        <w:t>/ESG</w:t>
      </w:r>
      <w:r>
        <w:rPr>
          <w:rFonts w:hint="eastAsia" w:ascii="Times New Roman" w:hAnsi="Times New Roman" w:cs="Times New Roman"/>
          <w:szCs w:val="30"/>
          <w:lang w:bidi="ar"/>
        </w:rPr>
        <w:t>报告框架的搭建过程中，公司可根据自身特征、可持续发展理念、利益相关方关切重点等设计报告框架。</w:t>
      </w:r>
    </w:p>
    <w:p w14:paraId="38378A33">
      <w:pPr>
        <w:widowControl/>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报告应以《指引》为依据，报告内容应符合《指引》要求。报告框架建议以重要性议题构成主体章节，对于具有财务重要性的议题，按照“治理”、“战略”、“影响、风险和机遇管理”、“指标与目标”的四要素框架进行披露。已经建立整体性治理结构和内部制度的，可根据《指引》规定对相关内容进行整合披露。</w:t>
      </w:r>
      <w:bookmarkEnd w:id="386"/>
      <w:bookmarkEnd w:id="387"/>
      <w:bookmarkEnd w:id="388"/>
    </w:p>
    <w:p w14:paraId="35974584">
      <w:pPr>
        <w:widowControl/>
        <w:adjustRightInd w:val="0"/>
        <w:snapToGrid w:val="0"/>
        <w:spacing w:line="560" w:lineRule="exact"/>
        <w:jc w:val="center"/>
        <w:rPr>
          <w:rFonts w:ascii="Times New Roman" w:hAnsi="Times New Roman" w:cs="Times New Roman"/>
          <w:szCs w:val="30"/>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2</w:t>
      </w:r>
      <w:r>
        <w:rPr>
          <w:rFonts w:hint="eastAsia" w:ascii="Times New Roman" w:hAnsi="Times New Roman" w:eastAsia="黑体" w:cs="Times New Roman"/>
          <w:sz w:val="24"/>
          <w:szCs w:val="24"/>
          <w:lang w:bidi="ar"/>
        </w:rPr>
        <w:t>1：《可持续发展报告》框架参考</w:t>
      </w:r>
    </w:p>
    <w:tbl>
      <w:tblPr>
        <w:tblStyle w:val="2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B6D2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000" w:type="pct"/>
          </w:tcPr>
          <w:p w14:paraId="415B4D7D">
            <w:pPr>
              <w:widowControl/>
              <w:adjustRightInd w:val="0"/>
              <w:snapToGrid w:val="0"/>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一、报告编制说明</w:t>
            </w:r>
          </w:p>
          <w:p w14:paraId="60FF347B">
            <w:pPr>
              <w:widowControl/>
              <w:adjustRightInd w:val="0"/>
              <w:snapToGrid w:val="0"/>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二、公司基本信息</w:t>
            </w:r>
          </w:p>
          <w:p w14:paraId="4813535A">
            <w:pPr>
              <w:widowControl/>
              <w:adjustRightInd w:val="0"/>
              <w:snapToGrid w:val="0"/>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三、议题重要性评估</w:t>
            </w:r>
          </w:p>
          <w:p w14:paraId="081D4668">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（一）双重重要性分析</w:t>
            </w:r>
          </w:p>
          <w:p w14:paraId="5DCE67F8">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（二）尽职调查、利益相关方沟通</w:t>
            </w:r>
          </w:p>
          <w:p w14:paraId="4631AAF3">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（三）议题重要性分析结论</w:t>
            </w:r>
          </w:p>
          <w:p w14:paraId="49613BBD">
            <w:pPr>
              <w:widowControl/>
              <w:adjustRightInd w:val="0"/>
              <w:snapToGrid w:val="0"/>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四、公司</w:t>
            </w:r>
            <w:r>
              <w:rPr>
                <w:rFonts w:ascii="Times New Roman" w:hAnsi="Times New Roman" w:cs="Times New Roman"/>
                <w:b/>
                <w:kern w:val="0"/>
                <w:sz w:val="24"/>
                <w:szCs w:val="24"/>
                <w:lang w:bidi="ar"/>
              </w:rPr>
              <w:t>ESG</w:t>
            </w:r>
            <w:r>
              <w:rPr>
                <w:rFonts w:hint="eastAsia" w:ascii="Times New Roman" w:hAnsi="Times New Roman" w:cs="Times New Roman"/>
                <w:b/>
                <w:kern w:val="0"/>
                <w:sz w:val="24"/>
                <w:szCs w:val="24"/>
                <w:lang w:bidi="ar"/>
              </w:rPr>
              <w:t>治理安排</w:t>
            </w:r>
          </w:p>
          <w:p w14:paraId="6EF0A2E6">
            <w:pPr>
              <w:widowControl/>
              <w:adjustRightInd w:val="0"/>
              <w:snapToGrid w:val="0"/>
              <w:ind w:firstLine="240" w:firstLineChars="100"/>
              <w:rPr>
                <w:rFonts w:ascii="Times New Roman" w:hAnsi="Times New Roman" w:cs="Times New Roman"/>
                <w:kern w:val="0"/>
                <w:sz w:val="24"/>
                <w:szCs w:val="24"/>
                <w:lang w:bidi="en-US"/>
              </w:rPr>
            </w:pPr>
            <w:r>
              <w:rPr>
                <w:rFonts w:hint="eastAsia" w:ascii="Times New Roman" w:hAnsi="Times New Roman" w:cs="Times New Roman"/>
                <w:kern w:val="0"/>
                <w:sz w:val="24"/>
                <w:szCs w:val="24"/>
                <w:lang w:bidi="en-US"/>
              </w:rPr>
              <w:t>公司可持续发展治理架构、可持续发展相关信息报告、监督与考核机制</w:t>
            </w:r>
          </w:p>
          <w:p w14:paraId="688AFADC">
            <w:pPr>
              <w:widowControl/>
              <w:adjustRightInd w:val="0"/>
              <w:snapToGrid w:val="0"/>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五、环境维度议题</w:t>
            </w:r>
          </w:p>
          <w:p w14:paraId="7D8026FE">
            <w:pPr>
              <w:widowControl/>
              <w:adjustRightInd w:val="0"/>
              <w:snapToGrid w:val="0"/>
              <w:ind w:firstLine="240" w:firstLineChars="10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应对气候变化、污染物排放、废弃物处理、生态系统和生物多样性保护、环境合规管理、能源利用、水资源利用、循环经济等议题的治理，战略，影响、风险和机遇管理，指标与目标等内容的披露</w:t>
            </w:r>
          </w:p>
          <w:p w14:paraId="7E2B347C">
            <w:pPr>
              <w:widowControl/>
              <w:adjustRightInd w:val="0"/>
              <w:snapToGrid w:val="0"/>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六、社会维度议题</w:t>
            </w:r>
          </w:p>
          <w:p w14:paraId="18CC7D22">
            <w:pPr>
              <w:widowControl/>
              <w:adjustRightInd w:val="0"/>
              <w:snapToGrid w:val="0"/>
              <w:ind w:firstLine="240" w:firstLineChars="10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员工、产品和服务安全与质量、数据安全与客户隐私保护、创新驱动、科技伦理、供应链安全、平等对待中小企业、乡村振兴、社会贡献议题的治理，战略，影响、风险和机遇管理，指标与目标等内容的披露</w:t>
            </w:r>
          </w:p>
          <w:p w14:paraId="164FF8D0">
            <w:pPr>
              <w:widowControl/>
              <w:adjustRightInd w:val="0"/>
              <w:snapToGrid w:val="0"/>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七、可持续发展相关治理维度议题</w:t>
            </w:r>
          </w:p>
          <w:p w14:paraId="00AB295C">
            <w:pPr>
              <w:widowControl/>
              <w:adjustRightInd w:val="0"/>
              <w:snapToGrid w:val="0"/>
              <w:ind w:firstLine="240" w:firstLineChars="10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反商业贿赂及反贪污、反不正当竞争议题的治理，战略，影响、风险和机遇管理，指标与目标等内容的披露</w:t>
            </w:r>
          </w:p>
          <w:p w14:paraId="3A397B48">
            <w:pPr>
              <w:widowControl/>
              <w:adjustRightInd w:val="0"/>
              <w:snapToGrid w:val="0"/>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八、</w:t>
            </w:r>
            <w:r>
              <w:rPr>
                <w:rFonts w:ascii="Times New Roman" w:hAnsi="Times New Roman" w:cs="Times New Roman"/>
                <w:b/>
                <w:kern w:val="0"/>
                <w:sz w:val="24"/>
                <w:szCs w:val="24"/>
                <w:lang w:bidi="ar"/>
              </w:rPr>
              <w:t>ESG</w:t>
            </w:r>
            <w:r>
              <w:rPr>
                <w:rFonts w:hint="eastAsia" w:ascii="Times New Roman" w:hAnsi="Times New Roman" w:cs="Times New Roman"/>
                <w:b/>
                <w:kern w:val="0"/>
                <w:sz w:val="24"/>
                <w:szCs w:val="24"/>
                <w:lang w:bidi="ar"/>
              </w:rPr>
              <w:t>数据表和附注</w:t>
            </w:r>
          </w:p>
          <w:p w14:paraId="47D08DB2">
            <w:pPr>
              <w:widowControl/>
              <w:adjustRightInd w:val="0"/>
              <w:snapToGrid w:val="0"/>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九、对标索引表</w:t>
            </w:r>
          </w:p>
          <w:p w14:paraId="1653EDF2">
            <w:pPr>
              <w:widowControl/>
              <w:adjustRightInd w:val="0"/>
              <w:snapToGrid w:val="0"/>
              <w:rPr>
                <w:rFonts w:ascii="Times New Roman" w:hAnsi="Times New Roman" w:cs="Times New Roman"/>
                <w:b/>
                <w:kern w:val="0"/>
                <w:sz w:val="24"/>
                <w:szCs w:val="24"/>
                <w:lang w:bidi="ar"/>
              </w:rPr>
            </w:pPr>
            <w:r>
              <w:rPr>
                <w:rFonts w:hint="eastAsia" w:ascii="Times New Roman" w:hAnsi="Times New Roman" w:cs="Times New Roman"/>
                <w:b/>
                <w:kern w:val="0"/>
                <w:sz w:val="24"/>
                <w:szCs w:val="24"/>
                <w:lang w:bidi="ar"/>
              </w:rPr>
              <w:t>十、第三方鉴证</w:t>
            </w:r>
            <w:r>
              <w:rPr>
                <w:rFonts w:ascii="Times New Roman" w:hAnsi="Times New Roman" w:cs="Times New Roman"/>
                <w:b/>
                <w:kern w:val="0"/>
                <w:sz w:val="24"/>
                <w:szCs w:val="24"/>
                <w:lang w:bidi="ar"/>
              </w:rPr>
              <w:t>/</w:t>
            </w:r>
            <w:r>
              <w:rPr>
                <w:rFonts w:hint="eastAsia" w:ascii="Times New Roman" w:hAnsi="Times New Roman" w:cs="Times New Roman"/>
                <w:b/>
                <w:kern w:val="0"/>
                <w:sz w:val="24"/>
                <w:szCs w:val="24"/>
                <w:lang w:bidi="ar"/>
              </w:rPr>
              <w:t>审验报告（可选）</w:t>
            </w:r>
          </w:p>
        </w:tc>
      </w:tr>
    </w:tbl>
    <w:p w14:paraId="3FF59607">
      <w:pPr>
        <w:adjustRightInd w:val="0"/>
        <w:snapToGrid w:val="0"/>
        <w:spacing w:line="560" w:lineRule="exact"/>
        <w:ind w:firstLine="600" w:firstLineChars="200"/>
        <w:rPr>
          <w:rFonts w:ascii="Times New Roman" w:hAnsi="Times New Roman" w:cs="Times New Roman"/>
          <w:szCs w:val="30"/>
          <w:lang w:bidi="ar"/>
        </w:rPr>
      </w:pPr>
      <w:r>
        <w:rPr>
          <w:rFonts w:hint="eastAsia" w:ascii="Times New Roman" w:hAnsi="Times New Roman" w:cs="Times New Roman"/>
          <w:szCs w:val="30"/>
          <w:lang w:bidi="ar"/>
        </w:rPr>
        <w:t>该报告框架下，环境、社会、可持续发展相关治理维度的重要性议题应进行逐一拆解披露，参考示例如下。</w:t>
      </w:r>
    </w:p>
    <w:p w14:paraId="2D138B87">
      <w:pPr>
        <w:widowControl/>
        <w:adjustRightInd w:val="0"/>
        <w:snapToGrid w:val="0"/>
        <w:spacing w:line="560" w:lineRule="exact"/>
        <w:jc w:val="center"/>
        <w:rPr>
          <w:rFonts w:ascii="Times New Roman" w:hAnsi="Times New Roman" w:eastAsia="黑体" w:cs="Times New Roman"/>
          <w:szCs w:val="30"/>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2</w:t>
      </w:r>
      <w:r>
        <w:rPr>
          <w:rFonts w:hint="eastAsia" w:ascii="Times New Roman" w:hAnsi="Times New Roman" w:eastAsia="黑体" w:cs="Times New Roman"/>
          <w:sz w:val="24"/>
          <w:szCs w:val="24"/>
          <w:lang w:bidi="ar"/>
        </w:rPr>
        <w:t>2：具体议题的披露框架参考示例（以“能源利用”议题为例）</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6"/>
        <w:gridCol w:w="7046"/>
      </w:tblGrid>
      <w:tr w14:paraId="30742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Align w:val="center"/>
          </w:tcPr>
          <w:p w14:paraId="68C1A1C4">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条目</w:t>
            </w:r>
          </w:p>
        </w:tc>
        <w:tc>
          <w:tcPr>
            <w:tcW w:w="4134" w:type="pct"/>
            <w:vAlign w:val="center"/>
          </w:tcPr>
          <w:p w14:paraId="2E2EA19B">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内容要点</w:t>
            </w:r>
          </w:p>
        </w:tc>
      </w:tr>
      <w:tr w14:paraId="1E645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Align w:val="center"/>
          </w:tcPr>
          <w:p w14:paraId="6BF6F3C7">
            <w:pPr>
              <w:adjustRightInd w:val="0"/>
              <w:snapToGrid w:val="0"/>
              <w:jc w:val="center"/>
              <w:rPr>
                <w:rFonts w:ascii="Calibri" w:hAnsi="Calibri" w:cs="Times New Roman"/>
                <w:bCs/>
                <w:kern w:val="0"/>
                <w:sz w:val="24"/>
                <w:szCs w:val="24"/>
              </w:rPr>
            </w:pPr>
            <w:r>
              <w:rPr>
                <w:rFonts w:hint="eastAsia" w:ascii="Calibri" w:hAnsi="Calibri" w:cs="Times New Roman"/>
                <w:bCs/>
                <w:kern w:val="0"/>
                <w:sz w:val="24"/>
                <w:szCs w:val="24"/>
              </w:rPr>
              <w:t>议题概要</w:t>
            </w:r>
          </w:p>
        </w:tc>
        <w:tc>
          <w:tcPr>
            <w:tcW w:w="4134" w:type="pct"/>
            <w:vAlign w:val="center"/>
          </w:tcPr>
          <w:p w14:paraId="14B4D91A">
            <w:pPr>
              <w:numPr>
                <w:ilvl w:val="0"/>
                <w:numId w:val="4"/>
              </w:num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公司涉及能源利用的主要运营环节及能源类别</w:t>
            </w:r>
          </w:p>
          <w:p w14:paraId="339DC5FD">
            <w:pPr>
              <w:numPr>
                <w:ilvl w:val="0"/>
                <w:numId w:val="4"/>
              </w:num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公司在能源利用方面遵守的法律法规及规章制度</w:t>
            </w:r>
          </w:p>
          <w:p w14:paraId="3754462C">
            <w:pPr>
              <w:autoSpaceDE w:val="0"/>
              <w:autoSpaceDN w:val="0"/>
              <w:adjustRightInd w:val="0"/>
              <w:snapToGrid w:val="0"/>
              <w:spacing w:line="241" w:lineRule="atLeast"/>
              <w:rPr>
                <w:rFonts w:ascii="Calibri" w:hAnsi="Calibri" w:cs="Times New Roman"/>
                <w:kern w:val="0"/>
                <w:sz w:val="24"/>
                <w:szCs w:val="24"/>
              </w:rPr>
            </w:pPr>
            <w:r>
              <w:rPr>
                <w:rFonts w:ascii="Calibri" w:hAnsi="Calibri" w:cs="Times New Roman"/>
                <w:kern w:val="0"/>
                <w:sz w:val="24"/>
                <w:szCs w:val="24"/>
              </w:rPr>
              <w:t>……</w:t>
            </w:r>
          </w:p>
        </w:tc>
      </w:tr>
      <w:tr w14:paraId="0E640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Align w:val="center"/>
          </w:tcPr>
          <w:p w14:paraId="2C24B3C6">
            <w:pPr>
              <w:adjustRightInd w:val="0"/>
              <w:snapToGrid w:val="0"/>
              <w:jc w:val="center"/>
              <w:rPr>
                <w:rFonts w:ascii="Calibri" w:hAnsi="Calibri" w:cs="Times New Roman"/>
                <w:bCs/>
                <w:kern w:val="0"/>
                <w:sz w:val="24"/>
                <w:szCs w:val="24"/>
              </w:rPr>
            </w:pPr>
            <w:r>
              <w:rPr>
                <w:rFonts w:hint="eastAsia" w:ascii="Calibri" w:hAnsi="Calibri" w:cs="Times New Roman"/>
                <w:bCs/>
                <w:kern w:val="0"/>
                <w:sz w:val="24"/>
                <w:szCs w:val="24"/>
              </w:rPr>
              <w:t>治理</w:t>
            </w:r>
          </w:p>
        </w:tc>
        <w:tc>
          <w:tcPr>
            <w:tcW w:w="4134" w:type="pct"/>
            <w:vAlign w:val="center"/>
          </w:tcPr>
          <w:p w14:paraId="28D67ABE">
            <w:pPr>
              <w:numPr>
                <w:ilvl w:val="0"/>
                <w:numId w:val="4"/>
              </w:num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公司在能源利用方面的治理架构</w:t>
            </w:r>
          </w:p>
          <w:p w14:paraId="4F809962">
            <w:pPr>
              <w:numPr>
                <w:ilvl w:val="0"/>
                <w:numId w:val="4"/>
              </w:num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公司在能源利用方面的信息报告、监督机制</w:t>
            </w:r>
          </w:p>
          <w:p w14:paraId="62B80D95">
            <w:pPr>
              <w:autoSpaceDE w:val="0"/>
              <w:autoSpaceDN w:val="0"/>
              <w:adjustRightInd w:val="0"/>
              <w:snapToGrid w:val="0"/>
              <w:spacing w:line="241" w:lineRule="atLeast"/>
              <w:rPr>
                <w:rFonts w:ascii="Calibri" w:hAnsi="Calibri" w:cs="Times New Roman"/>
                <w:kern w:val="0"/>
                <w:sz w:val="24"/>
                <w:szCs w:val="24"/>
              </w:rPr>
            </w:pPr>
            <w:r>
              <w:rPr>
                <w:rFonts w:ascii="Calibri" w:hAnsi="Calibri" w:cs="Times New Roman"/>
                <w:kern w:val="0"/>
                <w:sz w:val="24"/>
                <w:szCs w:val="24"/>
              </w:rPr>
              <w:t>……</w:t>
            </w:r>
          </w:p>
          <w:p w14:paraId="2A008ED4">
            <w:p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具体详见“第三章</w:t>
            </w:r>
            <w:r>
              <w:rPr>
                <w:rFonts w:ascii="Calibri" w:hAnsi="Calibri" w:cs="Times New Roman"/>
                <w:kern w:val="0"/>
                <w:sz w:val="24"/>
                <w:szCs w:val="24"/>
              </w:rPr>
              <w:t xml:space="preserve"> </w:t>
            </w:r>
            <w:r>
              <w:rPr>
                <w:rFonts w:hint="eastAsia" w:ascii="Calibri" w:hAnsi="Calibri" w:cs="Times New Roman"/>
                <w:kern w:val="0"/>
                <w:sz w:val="24"/>
                <w:szCs w:val="24"/>
              </w:rPr>
              <w:t>治理”，可与其他议题整合披露</w:t>
            </w:r>
          </w:p>
        </w:tc>
      </w:tr>
      <w:tr w14:paraId="1D7ED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66" w:type="pct"/>
            <w:vAlign w:val="center"/>
          </w:tcPr>
          <w:p w14:paraId="0B91A532">
            <w:pPr>
              <w:adjustRightInd w:val="0"/>
              <w:snapToGrid w:val="0"/>
              <w:jc w:val="center"/>
              <w:rPr>
                <w:rFonts w:ascii="Calibri" w:hAnsi="Calibri" w:cs="Times New Roman"/>
                <w:bCs/>
                <w:kern w:val="0"/>
                <w:sz w:val="24"/>
                <w:szCs w:val="24"/>
              </w:rPr>
            </w:pPr>
            <w:r>
              <w:rPr>
                <w:rFonts w:hint="eastAsia" w:ascii="Calibri" w:hAnsi="Calibri" w:cs="Times New Roman"/>
                <w:bCs/>
                <w:kern w:val="0"/>
                <w:sz w:val="24"/>
                <w:szCs w:val="24"/>
              </w:rPr>
              <w:t>战略</w:t>
            </w:r>
          </w:p>
        </w:tc>
        <w:tc>
          <w:tcPr>
            <w:tcW w:w="4134" w:type="pct"/>
            <w:vAlign w:val="center"/>
          </w:tcPr>
          <w:p w14:paraId="074813C9">
            <w:pPr>
              <w:numPr>
                <w:ilvl w:val="0"/>
                <w:numId w:val="4"/>
              </w:num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识别能源利用相关的风险和机遇对公司的影响</w:t>
            </w:r>
          </w:p>
          <w:p w14:paraId="642001AB">
            <w:pPr>
              <w:numPr>
                <w:ilvl w:val="0"/>
                <w:numId w:val="4"/>
              </w:num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公司制定应对能源利用相关的“影响、风险和机遇”的策略、方法和规划</w:t>
            </w:r>
          </w:p>
          <w:p w14:paraId="73BC5920">
            <w:pPr>
              <w:numPr>
                <w:ilvl w:val="0"/>
                <w:numId w:val="4"/>
              </w:num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公司评估能源利用相关的当期和预期财务影响</w:t>
            </w:r>
          </w:p>
          <w:p w14:paraId="046A61C1">
            <w:pPr>
              <w:numPr>
                <w:ilvl w:val="0"/>
                <w:numId w:val="4"/>
              </w:num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公司评估战略和业务模式对能源利用相关风险的适应性</w:t>
            </w:r>
          </w:p>
          <w:p w14:paraId="7F13D2DE">
            <w:pPr>
              <w:autoSpaceDE w:val="0"/>
              <w:autoSpaceDN w:val="0"/>
              <w:adjustRightInd w:val="0"/>
              <w:snapToGrid w:val="0"/>
              <w:spacing w:line="241" w:lineRule="atLeast"/>
              <w:rPr>
                <w:rFonts w:ascii="Calibri" w:hAnsi="Calibri" w:cs="Times New Roman"/>
                <w:kern w:val="0"/>
                <w:sz w:val="24"/>
                <w:szCs w:val="24"/>
              </w:rPr>
            </w:pPr>
            <w:r>
              <w:rPr>
                <w:rFonts w:ascii="Calibri" w:hAnsi="Calibri" w:cs="Times New Roman"/>
                <w:kern w:val="0"/>
                <w:sz w:val="24"/>
                <w:szCs w:val="24"/>
              </w:rPr>
              <w:t>……</w:t>
            </w:r>
          </w:p>
          <w:p w14:paraId="355C26A1">
            <w:p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具体详见“第四章</w:t>
            </w:r>
            <w:r>
              <w:rPr>
                <w:rFonts w:ascii="Calibri" w:hAnsi="Calibri" w:cs="Times New Roman"/>
                <w:kern w:val="0"/>
                <w:sz w:val="24"/>
                <w:szCs w:val="24"/>
              </w:rPr>
              <w:t xml:space="preserve"> </w:t>
            </w:r>
            <w:r>
              <w:rPr>
                <w:rFonts w:hint="eastAsia" w:ascii="Calibri" w:hAnsi="Calibri" w:cs="Times New Roman"/>
                <w:kern w:val="0"/>
                <w:sz w:val="24"/>
                <w:szCs w:val="24"/>
              </w:rPr>
              <w:t>战略”</w:t>
            </w:r>
          </w:p>
        </w:tc>
      </w:tr>
      <w:tr w14:paraId="7C872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Align w:val="center"/>
          </w:tcPr>
          <w:p w14:paraId="046D51E5">
            <w:pPr>
              <w:adjustRightInd w:val="0"/>
              <w:snapToGrid w:val="0"/>
              <w:jc w:val="center"/>
              <w:rPr>
                <w:rFonts w:ascii="Calibri" w:hAnsi="Calibri" w:cs="Times New Roman"/>
                <w:bCs/>
                <w:kern w:val="0"/>
                <w:sz w:val="24"/>
                <w:szCs w:val="24"/>
              </w:rPr>
            </w:pPr>
            <w:r>
              <w:rPr>
                <w:rFonts w:hint="eastAsia" w:ascii="Calibri" w:hAnsi="Calibri" w:cs="Times New Roman"/>
                <w:bCs/>
                <w:kern w:val="0"/>
                <w:sz w:val="24"/>
                <w:szCs w:val="24"/>
              </w:rPr>
              <w:t>影响、风险和机遇管理</w:t>
            </w:r>
          </w:p>
        </w:tc>
        <w:tc>
          <w:tcPr>
            <w:tcW w:w="4134" w:type="pct"/>
            <w:vAlign w:val="center"/>
          </w:tcPr>
          <w:p w14:paraId="35E615CB">
            <w:pPr>
              <w:numPr>
                <w:ilvl w:val="0"/>
                <w:numId w:val="4"/>
              </w:num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公司识别、评估能源利用相关的“影响、风险和机遇”的流程</w:t>
            </w:r>
          </w:p>
          <w:p w14:paraId="6DAC665D">
            <w:pPr>
              <w:numPr>
                <w:ilvl w:val="0"/>
                <w:numId w:val="4"/>
              </w:num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公司监测与管理能源利用相关的影响、风险和机遇</w:t>
            </w:r>
          </w:p>
          <w:p w14:paraId="5A5F3E8A">
            <w:pPr>
              <w:autoSpaceDE w:val="0"/>
              <w:autoSpaceDN w:val="0"/>
              <w:adjustRightInd w:val="0"/>
              <w:snapToGrid w:val="0"/>
              <w:spacing w:line="241" w:lineRule="atLeast"/>
              <w:rPr>
                <w:rFonts w:ascii="Calibri" w:hAnsi="Calibri" w:cs="Times New Roman"/>
                <w:kern w:val="0"/>
                <w:sz w:val="24"/>
                <w:szCs w:val="24"/>
              </w:rPr>
            </w:pPr>
            <w:r>
              <w:rPr>
                <w:rFonts w:ascii="Calibri" w:hAnsi="Calibri" w:cs="Times New Roman"/>
                <w:kern w:val="0"/>
                <w:sz w:val="24"/>
                <w:szCs w:val="24"/>
              </w:rPr>
              <w:t>……</w:t>
            </w:r>
          </w:p>
          <w:p w14:paraId="3F848210">
            <w:pPr>
              <w:autoSpaceDE w:val="0"/>
              <w:autoSpaceDN w:val="0"/>
              <w:adjustRightInd w:val="0"/>
              <w:snapToGrid w:val="0"/>
              <w:spacing w:line="241" w:lineRule="atLeast"/>
              <w:rPr>
                <w:rFonts w:ascii="Calibri" w:hAnsi="Calibri" w:cs="Times New Roman"/>
                <w:kern w:val="0"/>
                <w:sz w:val="24"/>
                <w:szCs w:val="24"/>
              </w:rPr>
            </w:pPr>
            <w:r>
              <w:rPr>
                <w:rFonts w:hint="eastAsia" w:ascii="Calibri" w:hAnsi="Calibri" w:cs="Times New Roman"/>
                <w:kern w:val="0"/>
                <w:sz w:val="24"/>
                <w:szCs w:val="24"/>
              </w:rPr>
              <w:t>具体详见“第五章</w:t>
            </w:r>
            <w:r>
              <w:rPr>
                <w:rFonts w:ascii="Calibri" w:hAnsi="Calibri" w:cs="Times New Roman"/>
                <w:kern w:val="0"/>
                <w:sz w:val="24"/>
                <w:szCs w:val="24"/>
              </w:rPr>
              <w:t xml:space="preserve"> </w:t>
            </w:r>
            <w:r>
              <w:rPr>
                <w:rFonts w:hint="eastAsia" w:ascii="Calibri" w:hAnsi="Calibri" w:cs="Times New Roman"/>
                <w:kern w:val="0"/>
                <w:sz w:val="24"/>
                <w:szCs w:val="24"/>
              </w:rPr>
              <w:t>影响、风险和机遇管理”</w:t>
            </w:r>
          </w:p>
        </w:tc>
      </w:tr>
      <w:tr w14:paraId="7C05F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Align w:val="center"/>
          </w:tcPr>
          <w:p w14:paraId="6A7F7273">
            <w:pPr>
              <w:adjustRightInd w:val="0"/>
              <w:snapToGrid w:val="0"/>
              <w:jc w:val="center"/>
              <w:rPr>
                <w:rFonts w:ascii="Calibri" w:hAnsi="Calibri" w:cs="Times New Roman"/>
                <w:bCs/>
                <w:kern w:val="0"/>
                <w:sz w:val="24"/>
                <w:szCs w:val="24"/>
              </w:rPr>
            </w:pPr>
            <w:r>
              <w:rPr>
                <w:rFonts w:hint="eastAsia" w:ascii="Calibri" w:hAnsi="Calibri" w:cs="Times New Roman"/>
                <w:bCs/>
                <w:kern w:val="0"/>
                <w:sz w:val="24"/>
                <w:szCs w:val="24"/>
              </w:rPr>
              <w:t>指标与目标</w:t>
            </w:r>
          </w:p>
        </w:tc>
        <w:tc>
          <w:tcPr>
            <w:tcW w:w="4134" w:type="pct"/>
            <w:vAlign w:val="center"/>
          </w:tcPr>
          <w:p w14:paraId="7C672A1D">
            <w:pPr>
              <w:numPr>
                <w:ilvl w:val="0"/>
                <w:numId w:val="4"/>
              </w:numPr>
              <w:autoSpaceDE w:val="0"/>
              <w:autoSpaceDN w:val="0"/>
              <w:adjustRightInd w:val="0"/>
              <w:snapToGrid w:val="0"/>
              <w:spacing w:line="241" w:lineRule="atLeast"/>
              <w:jc w:val="left"/>
              <w:rPr>
                <w:rFonts w:ascii="Calibri" w:hAnsi="Calibri" w:cs="Times New Roman"/>
                <w:kern w:val="0"/>
                <w:sz w:val="24"/>
                <w:szCs w:val="24"/>
              </w:rPr>
            </w:pPr>
            <w:r>
              <w:rPr>
                <w:rFonts w:hint="eastAsia" w:ascii="Calibri" w:hAnsi="Calibri" w:cs="Times New Roman"/>
                <w:kern w:val="0"/>
                <w:sz w:val="24"/>
                <w:szCs w:val="24"/>
              </w:rPr>
              <w:t>公司根据相关法律法规、《指引》要求以及自身需要设定的能源利用相关的目标及相关指标</w:t>
            </w:r>
          </w:p>
          <w:p w14:paraId="1B8AE61D">
            <w:pPr>
              <w:numPr>
                <w:ilvl w:val="0"/>
                <w:numId w:val="4"/>
              </w:numPr>
              <w:autoSpaceDE w:val="0"/>
              <w:autoSpaceDN w:val="0"/>
              <w:adjustRightInd w:val="0"/>
              <w:snapToGrid w:val="0"/>
              <w:spacing w:line="241" w:lineRule="atLeast"/>
              <w:jc w:val="left"/>
              <w:rPr>
                <w:rFonts w:ascii="Calibri" w:hAnsi="Calibri" w:cs="Times New Roman"/>
                <w:kern w:val="0"/>
                <w:sz w:val="24"/>
                <w:szCs w:val="24"/>
              </w:rPr>
            </w:pPr>
            <w:r>
              <w:rPr>
                <w:rFonts w:hint="eastAsia" w:ascii="Calibri" w:hAnsi="Calibri" w:cs="Times New Roman"/>
                <w:kern w:val="0"/>
                <w:sz w:val="24"/>
                <w:szCs w:val="24"/>
              </w:rPr>
              <w:t>报告期末相关目标整体实现情况、报告期内的进展情况</w:t>
            </w:r>
          </w:p>
          <w:p w14:paraId="001E253D">
            <w:pPr>
              <w:autoSpaceDE w:val="0"/>
              <w:autoSpaceDN w:val="0"/>
              <w:adjustRightInd w:val="0"/>
              <w:snapToGrid w:val="0"/>
              <w:spacing w:line="241" w:lineRule="atLeast"/>
              <w:rPr>
                <w:rFonts w:ascii="Calibri" w:hAnsi="Calibri" w:cs="Times New Roman"/>
                <w:kern w:val="0"/>
                <w:sz w:val="24"/>
                <w:szCs w:val="24"/>
              </w:rPr>
            </w:pPr>
            <w:r>
              <w:rPr>
                <w:rFonts w:ascii="Calibri" w:hAnsi="Calibri" w:cs="Times New Roman"/>
                <w:kern w:val="0"/>
                <w:sz w:val="24"/>
                <w:szCs w:val="24"/>
              </w:rPr>
              <w:t>……</w:t>
            </w:r>
          </w:p>
          <w:p w14:paraId="6A3B5C8F">
            <w:pPr>
              <w:autoSpaceDE w:val="0"/>
              <w:autoSpaceDN w:val="0"/>
              <w:adjustRightInd w:val="0"/>
              <w:snapToGrid w:val="0"/>
              <w:spacing w:line="241" w:lineRule="atLeast"/>
              <w:jc w:val="left"/>
              <w:rPr>
                <w:rFonts w:ascii="Calibri" w:hAnsi="Calibri" w:cs="Times New Roman"/>
                <w:kern w:val="0"/>
                <w:sz w:val="24"/>
                <w:szCs w:val="24"/>
              </w:rPr>
            </w:pPr>
            <w:r>
              <w:rPr>
                <w:rFonts w:hint="eastAsia" w:ascii="Calibri" w:hAnsi="Calibri" w:cs="Times New Roman"/>
                <w:kern w:val="0"/>
                <w:sz w:val="24"/>
                <w:szCs w:val="24"/>
              </w:rPr>
              <w:t>具体详见“第六章</w:t>
            </w:r>
            <w:r>
              <w:rPr>
                <w:rFonts w:ascii="Calibri" w:hAnsi="Calibri" w:cs="Times New Roman"/>
                <w:kern w:val="0"/>
                <w:sz w:val="24"/>
                <w:szCs w:val="24"/>
              </w:rPr>
              <w:t xml:space="preserve"> </w:t>
            </w:r>
            <w:r>
              <w:rPr>
                <w:rFonts w:hint="eastAsia" w:ascii="Calibri" w:hAnsi="Calibri" w:cs="Times New Roman"/>
                <w:kern w:val="0"/>
                <w:sz w:val="24"/>
                <w:szCs w:val="24"/>
              </w:rPr>
              <w:t>指标与目标”</w:t>
            </w:r>
          </w:p>
        </w:tc>
      </w:tr>
      <w:tr w14:paraId="19094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6" w:type="pct"/>
            <w:vAlign w:val="center"/>
          </w:tcPr>
          <w:p w14:paraId="46DCB50C">
            <w:pPr>
              <w:adjustRightInd w:val="0"/>
              <w:snapToGrid w:val="0"/>
              <w:rPr>
                <w:rFonts w:ascii="Calibri" w:hAnsi="Calibri" w:cs="Times New Roman"/>
                <w:bCs/>
                <w:kern w:val="0"/>
                <w:sz w:val="24"/>
                <w:szCs w:val="24"/>
              </w:rPr>
            </w:pPr>
            <w:r>
              <w:rPr>
                <w:rFonts w:hint="eastAsia" w:ascii="Calibri" w:hAnsi="Calibri" w:cs="Times New Roman"/>
                <w:bCs/>
                <w:kern w:val="0"/>
                <w:sz w:val="24"/>
                <w:szCs w:val="24"/>
              </w:rPr>
              <w:t>其他《指引》要求的议题披露项</w:t>
            </w:r>
          </w:p>
        </w:tc>
        <w:tc>
          <w:tcPr>
            <w:tcW w:w="4134" w:type="pct"/>
            <w:vAlign w:val="center"/>
          </w:tcPr>
          <w:p w14:paraId="786FE7EE">
            <w:pPr>
              <w:numPr>
                <w:ilvl w:val="0"/>
                <w:numId w:val="4"/>
              </w:numPr>
              <w:autoSpaceDE w:val="0"/>
              <w:autoSpaceDN w:val="0"/>
              <w:adjustRightInd w:val="0"/>
              <w:snapToGrid w:val="0"/>
              <w:spacing w:line="241" w:lineRule="atLeast"/>
              <w:jc w:val="left"/>
              <w:rPr>
                <w:rFonts w:ascii="Calibri" w:hAnsi="Calibri" w:cs="Times New Roman"/>
                <w:kern w:val="0"/>
                <w:sz w:val="24"/>
                <w:szCs w:val="24"/>
              </w:rPr>
            </w:pPr>
            <w:r>
              <w:rPr>
                <w:rFonts w:hint="eastAsia" w:ascii="Calibri" w:hAnsi="Calibri" w:cs="Times New Roman"/>
                <w:kern w:val="0"/>
                <w:sz w:val="24"/>
                <w:szCs w:val="24"/>
              </w:rPr>
              <w:t>能源使用的基本情况，如按类型划分的直接及间接能源（如煤、电、气或油）总能耗量（以吨标准煤计算）、结构及总能耗强度（如以每产量单位计算）等</w:t>
            </w:r>
          </w:p>
          <w:p w14:paraId="0F01A2D3">
            <w:pPr>
              <w:numPr>
                <w:ilvl w:val="0"/>
                <w:numId w:val="4"/>
              </w:numPr>
              <w:autoSpaceDE w:val="0"/>
              <w:autoSpaceDN w:val="0"/>
              <w:adjustRightInd w:val="0"/>
              <w:snapToGrid w:val="0"/>
              <w:spacing w:line="241" w:lineRule="atLeast"/>
              <w:jc w:val="left"/>
              <w:rPr>
                <w:rFonts w:ascii="Calibri" w:hAnsi="Calibri" w:cs="Times New Roman"/>
                <w:kern w:val="0"/>
                <w:sz w:val="24"/>
                <w:szCs w:val="24"/>
              </w:rPr>
            </w:pPr>
            <w:r>
              <w:rPr>
                <w:rFonts w:hint="eastAsia" w:ascii="Calibri" w:hAnsi="Calibri" w:cs="Times New Roman"/>
                <w:kern w:val="0"/>
                <w:sz w:val="24"/>
                <w:szCs w:val="24"/>
              </w:rPr>
              <w:t>清洁能源使用情况，如风能、太阳能、水能、地热能、生物质资源、海洋能、天然气等清洁能源的种类、总量、比例等</w:t>
            </w:r>
          </w:p>
          <w:p w14:paraId="50D4728E">
            <w:pPr>
              <w:numPr>
                <w:ilvl w:val="0"/>
                <w:numId w:val="4"/>
              </w:numPr>
              <w:autoSpaceDE w:val="0"/>
              <w:autoSpaceDN w:val="0"/>
              <w:adjustRightInd w:val="0"/>
              <w:snapToGrid w:val="0"/>
              <w:spacing w:line="241" w:lineRule="atLeast"/>
              <w:jc w:val="left"/>
              <w:rPr>
                <w:rFonts w:ascii="Calibri" w:hAnsi="Calibri" w:cs="Times New Roman"/>
                <w:kern w:val="0"/>
                <w:sz w:val="24"/>
                <w:szCs w:val="24"/>
              </w:rPr>
            </w:pPr>
            <w:r>
              <w:rPr>
                <w:rFonts w:hint="eastAsia" w:ascii="Calibri" w:hAnsi="Calibri" w:cs="Times New Roman"/>
                <w:kern w:val="0"/>
                <w:sz w:val="24"/>
                <w:szCs w:val="24"/>
              </w:rPr>
              <w:t>能源节约目标以及具体措施，如采购节能生产设备、节能照明设备、节能温控设备，采用余热余压利用、能源梯级利用等措施</w:t>
            </w:r>
          </w:p>
          <w:p w14:paraId="05CC7BEF">
            <w:pPr>
              <w:autoSpaceDE w:val="0"/>
              <w:autoSpaceDN w:val="0"/>
              <w:adjustRightInd w:val="0"/>
              <w:snapToGrid w:val="0"/>
              <w:spacing w:line="241" w:lineRule="atLeast"/>
              <w:jc w:val="left"/>
              <w:rPr>
                <w:rFonts w:ascii="Calibri" w:hAnsi="Calibri" w:cs="Times New Roman"/>
                <w:kern w:val="0"/>
                <w:sz w:val="24"/>
                <w:szCs w:val="24"/>
              </w:rPr>
            </w:pPr>
            <w:r>
              <w:rPr>
                <w:rFonts w:ascii="Calibri" w:hAnsi="Calibri" w:cs="Times New Roman"/>
                <w:kern w:val="0"/>
                <w:sz w:val="24"/>
                <w:szCs w:val="24"/>
              </w:rPr>
              <w:t>……</w:t>
            </w:r>
          </w:p>
          <w:p w14:paraId="1E911FD4">
            <w:pPr>
              <w:autoSpaceDE w:val="0"/>
              <w:autoSpaceDN w:val="0"/>
              <w:adjustRightInd w:val="0"/>
              <w:snapToGrid w:val="0"/>
              <w:spacing w:line="241" w:lineRule="atLeast"/>
              <w:jc w:val="left"/>
              <w:rPr>
                <w:rFonts w:ascii="Calibri" w:hAnsi="Calibri" w:cs="Times New Roman"/>
                <w:kern w:val="0"/>
                <w:sz w:val="24"/>
                <w:szCs w:val="24"/>
              </w:rPr>
            </w:pPr>
            <w:r>
              <w:rPr>
                <w:rFonts w:hint="eastAsia" w:ascii="Calibri" w:hAnsi="Calibri" w:cs="Times New Roman"/>
                <w:kern w:val="0"/>
                <w:sz w:val="24"/>
                <w:szCs w:val="24"/>
              </w:rPr>
              <w:t>可与“影响、风险和机遇管理”“指标与目标”部分合并撰写。</w:t>
            </w:r>
          </w:p>
        </w:tc>
      </w:tr>
    </w:tbl>
    <w:p w14:paraId="2EE0865B">
      <w:pPr>
        <w:widowControl/>
        <w:adjustRightInd w:val="0"/>
        <w:snapToGrid w:val="0"/>
        <w:spacing w:line="560" w:lineRule="exact"/>
        <w:jc w:val="center"/>
        <w:rPr>
          <w:rFonts w:ascii="Times New Roman" w:hAnsi="Times New Roman" w:cs="Times New Roman"/>
          <w:szCs w:val="30"/>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2</w:t>
      </w:r>
      <w:r>
        <w:rPr>
          <w:rFonts w:hint="eastAsia" w:ascii="Times New Roman" w:hAnsi="Times New Roman" w:eastAsia="黑体" w:cs="Times New Roman"/>
          <w:sz w:val="24"/>
          <w:szCs w:val="24"/>
          <w:lang w:bidi="ar"/>
        </w:rPr>
        <w:t>3：战略披露框架参考</w:t>
      </w:r>
    </w:p>
    <w:tbl>
      <w:tblPr>
        <w:tblStyle w:val="2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14:paraId="54EF6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tcPr>
          <w:p w14:paraId="021E59E8">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一、“可持续发展相关风险和机遇”对公司影响</w:t>
            </w:r>
          </w:p>
          <w:p w14:paraId="00F5048F">
            <w:pPr>
              <w:adjustRightInd w:val="0"/>
              <w:snapToGrid w:val="0"/>
              <w:rPr>
                <w:rFonts w:ascii="Times New Roman" w:hAnsi="Times New Roman" w:cs="Times New Roman"/>
                <w:kern w:val="0"/>
                <w:sz w:val="24"/>
                <w:szCs w:val="24"/>
                <w:lang w:bidi="ar"/>
              </w:rPr>
            </w:pPr>
            <w:r>
              <w:rPr>
                <w:rFonts w:ascii="Times New Roman" w:hAnsi="Times New Roman" w:cs="Times New Roman"/>
                <w:kern w:val="0"/>
                <w:sz w:val="24"/>
                <w:szCs w:val="24"/>
                <w:lang w:bidi="ar"/>
              </w:rPr>
              <w:t>1.</w:t>
            </w:r>
            <w:r>
              <w:rPr>
                <w:rFonts w:hint="eastAsia" w:ascii="Times New Roman" w:hAnsi="Times New Roman" w:cs="Times New Roman"/>
                <w:kern w:val="0"/>
                <w:sz w:val="24"/>
                <w:szCs w:val="24"/>
                <w:lang w:bidi="ar"/>
              </w:rPr>
              <w:t>公司识别出的可持续发展相关风险和机遇，以及相关风险和机遇对公司造成重大影响的时间范围。可讨论与分析公司所属行业情况及特点。</w:t>
            </w:r>
          </w:p>
          <w:p w14:paraId="432BA56E">
            <w:pPr>
              <w:adjustRightInd w:val="0"/>
              <w:snapToGrid w:val="0"/>
              <w:rPr>
                <w:rFonts w:ascii="Times New Roman" w:hAnsi="Times New Roman" w:cs="Times New Roman"/>
                <w:kern w:val="0"/>
                <w:sz w:val="24"/>
                <w:szCs w:val="24"/>
                <w:lang w:bidi="ar"/>
              </w:rPr>
            </w:pPr>
            <w:r>
              <w:rPr>
                <w:rFonts w:ascii="Times New Roman" w:hAnsi="Times New Roman" w:cs="Times New Roman"/>
                <w:kern w:val="0"/>
                <w:sz w:val="24"/>
                <w:szCs w:val="24"/>
                <w:lang w:bidi="ar"/>
              </w:rPr>
              <w:t>2.</w:t>
            </w:r>
            <w:r>
              <w:rPr>
                <w:rFonts w:hint="eastAsia" w:ascii="Times New Roman" w:hAnsi="Times New Roman" w:cs="Times New Roman"/>
                <w:kern w:val="0"/>
                <w:sz w:val="24"/>
                <w:szCs w:val="24"/>
                <w:lang w:bidi="ar"/>
              </w:rPr>
              <w:t>公司对短期、中期和长期的定义，以及相关定义与公司的发展战略规划和资源分配计划的匹配情况。</w:t>
            </w:r>
          </w:p>
        </w:tc>
      </w:tr>
      <w:tr w14:paraId="2DF58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tcPr>
          <w:p w14:paraId="3291CAE6">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二、公司应对“影响、风险和机遇”的策略、方法和规划</w:t>
            </w:r>
          </w:p>
          <w:p w14:paraId="3347D2A9">
            <w:pPr>
              <w:adjustRightInd w:val="0"/>
              <w:snapToGrid w:val="0"/>
              <w:rPr>
                <w:rFonts w:ascii="Times New Roman" w:hAnsi="Times New Roman" w:cs="Times New Roman"/>
                <w:kern w:val="0"/>
                <w:sz w:val="24"/>
                <w:szCs w:val="24"/>
                <w:lang w:bidi="ar"/>
              </w:rPr>
            </w:pPr>
            <w:r>
              <w:rPr>
                <w:rFonts w:ascii="Times New Roman" w:hAnsi="Times New Roman" w:cs="Times New Roman"/>
                <w:kern w:val="0"/>
                <w:sz w:val="24"/>
                <w:szCs w:val="24"/>
                <w:lang w:bidi="ar"/>
              </w:rPr>
              <w:t>1.</w:t>
            </w:r>
            <w:r>
              <w:rPr>
                <w:rFonts w:hint="eastAsia" w:ascii="Times New Roman" w:hAnsi="Times New Roman" w:cs="Times New Roman"/>
                <w:kern w:val="0"/>
                <w:sz w:val="24"/>
                <w:szCs w:val="24"/>
                <w:lang w:bidi="ar"/>
              </w:rPr>
              <w:t>公司在战略制定和重大决策过程中为应对可持续发展相关影响、风险和机遇所采用的方法。</w:t>
            </w:r>
          </w:p>
          <w:p w14:paraId="6D5F2EFB">
            <w:pPr>
              <w:adjustRightInd w:val="0"/>
              <w:snapToGrid w:val="0"/>
              <w:rPr>
                <w:rFonts w:ascii="Times New Roman" w:hAnsi="Times New Roman" w:cs="Times New Roman"/>
                <w:kern w:val="0"/>
                <w:sz w:val="24"/>
                <w:szCs w:val="24"/>
                <w:lang w:bidi="ar"/>
              </w:rPr>
            </w:pPr>
            <w:r>
              <w:rPr>
                <w:rFonts w:ascii="Times New Roman" w:hAnsi="Times New Roman" w:cs="Times New Roman"/>
                <w:kern w:val="0"/>
                <w:sz w:val="24"/>
                <w:szCs w:val="24"/>
                <w:lang w:bidi="ar"/>
              </w:rPr>
              <w:t>2.</w:t>
            </w:r>
            <w:r>
              <w:rPr>
                <w:rFonts w:hint="eastAsia" w:ascii="Times New Roman" w:hAnsi="Times New Roman" w:cs="Times New Roman"/>
                <w:kern w:val="0"/>
                <w:sz w:val="24"/>
                <w:szCs w:val="24"/>
                <w:lang w:bidi="ar"/>
              </w:rPr>
              <w:t>公司为实现相关战略目标而制定的计划以及衡量计划进展的定性、定量信息（即公司的可持续发展</w:t>
            </w:r>
            <w:r>
              <w:rPr>
                <w:rFonts w:ascii="Times New Roman" w:hAnsi="Times New Roman" w:cs="Times New Roman"/>
                <w:kern w:val="0"/>
                <w:sz w:val="24"/>
                <w:szCs w:val="24"/>
                <w:lang w:bidi="ar"/>
              </w:rPr>
              <w:t>/ESG</w:t>
            </w:r>
            <w:r>
              <w:rPr>
                <w:rFonts w:hint="eastAsia" w:ascii="Times New Roman" w:hAnsi="Times New Roman" w:cs="Times New Roman"/>
                <w:kern w:val="0"/>
                <w:sz w:val="24"/>
                <w:szCs w:val="24"/>
                <w:lang w:bidi="ar"/>
              </w:rPr>
              <w:t>战略）。</w:t>
            </w:r>
          </w:p>
        </w:tc>
      </w:tr>
      <w:tr w14:paraId="07A49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tcPr>
          <w:p w14:paraId="561E8DB4">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三、评估当期和预期财务影响</w:t>
            </w:r>
          </w:p>
          <w:p w14:paraId="630A198F">
            <w:pPr>
              <w:adjustRightInd w:val="0"/>
              <w:snapToGrid w:val="0"/>
              <w:rPr>
                <w:rFonts w:ascii="Times New Roman" w:hAnsi="Times New Roman" w:cs="Times New Roman"/>
                <w:kern w:val="0"/>
                <w:sz w:val="24"/>
                <w:szCs w:val="24"/>
                <w:lang w:bidi="ar"/>
              </w:rPr>
            </w:pPr>
            <w:r>
              <w:rPr>
                <w:rFonts w:ascii="Times New Roman" w:hAnsi="Times New Roman" w:cs="Times New Roman"/>
                <w:kern w:val="0"/>
                <w:sz w:val="24"/>
                <w:szCs w:val="24"/>
                <w:lang w:bidi="ar"/>
              </w:rPr>
              <w:t>1.</w:t>
            </w:r>
            <w:r>
              <w:rPr>
                <w:rFonts w:hint="eastAsia" w:ascii="Times New Roman" w:hAnsi="Times New Roman" w:cs="Times New Roman"/>
                <w:kern w:val="0"/>
                <w:sz w:val="24"/>
                <w:szCs w:val="24"/>
                <w:lang w:bidi="ar"/>
              </w:rPr>
              <w:t>可持续发展相关风险和机遇如何影响公司当期财务状况、经营成果、现金流，以及是否会对公司下一年度财务状况、经营成果、现金流产生重大影响。</w:t>
            </w:r>
          </w:p>
          <w:p w14:paraId="0B8317AF">
            <w:pPr>
              <w:adjustRightInd w:val="0"/>
              <w:snapToGrid w:val="0"/>
              <w:rPr>
                <w:rFonts w:ascii="Times New Roman" w:hAnsi="Times New Roman" w:cs="Times New Roman"/>
                <w:kern w:val="0"/>
                <w:sz w:val="24"/>
                <w:szCs w:val="24"/>
                <w:lang w:bidi="ar"/>
              </w:rPr>
            </w:pPr>
            <w:r>
              <w:rPr>
                <w:rFonts w:ascii="Times New Roman" w:hAnsi="Times New Roman" w:cs="Times New Roman"/>
                <w:kern w:val="0"/>
                <w:sz w:val="24"/>
                <w:szCs w:val="24"/>
                <w:lang w:bidi="ar"/>
              </w:rPr>
              <w:t>2.</w:t>
            </w:r>
            <w:r>
              <w:rPr>
                <w:rFonts w:hint="eastAsia" w:ascii="Times New Roman" w:hAnsi="Times New Roman" w:cs="Times New Roman"/>
                <w:kern w:val="0"/>
                <w:sz w:val="24"/>
                <w:szCs w:val="24"/>
                <w:lang w:bidi="ar"/>
              </w:rPr>
              <w:t>公司基于相关战略，分析预计公司财务状况、经营成果、现金流的短期、中期和长期内的变化趋势（鼓励）。</w:t>
            </w:r>
          </w:p>
        </w:tc>
      </w:tr>
      <w:tr w14:paraId="2E55E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tcPr>
          <w:p w14:paraId="5641CCCC">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四、公司评估战略和业务模式对可持续相关风险的适应性</w:t>
            </w:r>
          </w:p>
        </w:tc>
      </w:tr>
      <w:tr w14:paraId="7D006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96" w:type="dxa"/>
          </w:tcPr>
          <w:p w14:paraId="034F7F28">
            <w:pPr>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五、其他披露事项</w:t>
            </w:r>
          </w:p>
        </w:tc>
      </w:tr>
    </w:tbl>
    <w:p w14:paraId="33D20478">
      <w:pPr>
        <w:widowControl/>
        <w:adjustRightInd w:val="0"/>
        <w:snapToGrid w:val="0"/>
        <w:spacing w:line="560" w:lineRule="exact"/>
        <w:jc w:val="center"/>
        <w:rPr>
          <w:rFonts w:ascii="Times New Roman" w:hAnsi="Times New Roman" w:cs="Times New Roman"/>
          <w:szCs w:val="30"/>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2</w:t>
      </w:r>
      <w:r>
        <w:rPr>
          <w:rFonts w:hint="eastAsia" w:ascii="Times New Roman" w:hAnsi="Times New Roman" w:eastAsia="黑体" w:cs="Times New Roman"/>
          <w:sz w:val="24"/>
          <w:szCs w:val="24"/>
          <w:lang w:bidi="ar"/>
        </w:rPr>
        <w:t>4：设定目标的披露框架参考</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1CC0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6E2A4811">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目标定义；</w:t>
            </w:r>
          </w:p>
        </w:tc>
      </w:tr>
      <w:tr w14:paraId="79F30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3ECD3E89">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拟实现的目标水平，包括该目标是绝对值、相对值还是定性目标，采用何种计量单位等；</w:t>
            </w:r>
          </w:p>
        </w:tc>
      </w:tr>
      <w:tr w14:paraId="3956D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6138D6FF">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目标覆盖的范围，包括覆盖公司自身运营、上游和下游价值链中的哪些范围；</w:t>
            </w:r>
          </w:p>
        </w:tc>
      </w:tr>
      <w:tr w14:paraId="4C51F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tcPr>
          <w:p w14:paraId="285B8FC9">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目标适用的时间范围，包括该目标是阶段性目标还是短中长期目标；</w:t>
            </w:r>
          </w:p>
        </w:tc>
      </w:tr>
      <w:tr w14:paraId="534D7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2C85BA43">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计量目标实现进展的基准值和基准年；</w:t>
            </w:r>
          </w:p>
        </w:tc>
      </w:tr>
      <w:tr w14:paraId="35962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3CD27F72">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设定目标的方法、关键假设、方法的局限性以及使用的输入值或者参数等；</w:t>
            </w:r>
          </w:p>
        </w:tc>
      </w:tr>
      <w:tr w14:paraId="3EB3F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53305EF3">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目标实现进展以及未来趋势或者变化分析；</w:t>
            </w:r>
          </w:p>
        </w:tc>
      </w:tr>
      <w:tr w14:paraId="74BA2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tcPr>
          <w:p w14:paraId="035F51EF">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目标的修订及原因（如适用）。</w:t>
            </w:r>
          </w:p>
        </w:tc>
      </w:tr>
    </w:tbl>
    <w:p w14:paraId="55B32F5B">
      <w:pPr>
        <w:widowControl/>
        <w:adjustRightInd w:val="0"/>
        <w:snapToGrid w:val="0"/>
        <w:spacing w:line="560" w:lineRule="exact"/>
        <w:jc w:val="center"/>
        <w:rPr>
          <w:rFonts w:ascii="Times New Roman" w:hAnsi="Times New Roman" w:cs="Times New Roman"/>
          <w:szCs w:val="30"/>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2</w:t>
      </w:r>
      <w:r>
        <w:rPr>
          <w:rFonts w:hint="eastAsia" w:ascii="Times New Roman" w:hAnsi="Times New Roman" w:eastAsia="黑体" w:cs="Times New Roman"/>
          <w:sz w:val="24"/>
          <w:szCs w:val="24"/>
          <w:lang w:bidi="ar"/>
        </w:rPr>
        <w:t>5：目标进展的披露框架参考</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1499"/>
        <w:gridCol w:w="1267"/>
        <w:gridCol w:w="1517"/>
        <w:gridCol w:w="993"/>
        <w:gridCol w:w="1638"/>
      </w:tblGrid>
      <w:tr w14:paraId="07AF6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vAlign w:val="center"/>
          </w:tcPr>
          <w:p w14:paraId="2E813ACA">
            <w:pPr>
              <w:widowControl/>
              <w:adjustRightInd w:val="0"/>
              <w:snapToGrid w:val="0"/>
              <w:jc w:val="center"/>
              <w:rPr>
                <w:rFonts w:ascii="Times New Roman" w:hAnsi="Times New Roman" w:cs="Times New Roman"/>
                <w:b/>
                <w:kern w:val="0"/>
                <w:sz w:val="24"/>
                <w:szCs w:val="24"/>
              </w:rPr>
            </w:pPr>
            <w:r>
              <w:rPr>
                <w:rFonts w:hint="eastAsia" w:ascii="Times New Roman" w:hAnsi="Times New Roman" w:cs="Times New Roman"/>
                <w:b/>
                <w:kern w:val="0"/>
                <w:sz w:val="24"/>
                <w:szCs w:val="24"/>
              </w:rPr>
              <w:t>议题</w:t>
            </w:r>
          </w:p>
        </w:tc>
        <w:tc>
          <w:tcPr>
            <w:tcW w:w="1499" w:type="dxa"/>
            <w:vAlign w:val="center"/>
          </w:tcPr>
          <w:p w14:paraId="30B731D4">
            <w:pPr>
              <w:widowControl/>
              <w:adjustRightInd w:val="0"/>
              <w:snapToGrid w:val="0"/>
              <w:jc w:val="center"/>
              <w:rPr>
                <w:rFonts w:ascii="Times New Roman" w:hAnsi="Times New Roman" w:cs="Times New Roman"/>
                <w:b/>
                <w:kern w:val="0"/>
                <w:sz w:val="24"/>
                <w:szCs w:val="24"/>
              </w:rPr>
            </w:pPr>
            <w:r>
              <w:rPr>
                <w:rFonts w:hint="eastAsia" w:ascii="Times New Roman" w:hAnsi="Times New Roman" w:cs="Times New Roman"/>
                <w:b/>
                <w:kern w:val="0"/>
                <w:sz w:val="24"/>
                <w:szCs w:val="24"/>
              </w:rPr>
              <w:t>指标</w:t>
            </w:r>
          </w:p>
        </w:tc>
        <w:tc>
          <w:tcPr>
            <w:tcW w:w="1267" w:type="dxa"/>
            <w:vAlign w:val="center"/>
          </w:tcPr>
          <w:p w14:paraId="0E26DDB5">
            <w:pPr>
              <w:widowControl/>
              <w:adjustRightInd w:val="0"/>
              <w:snapToGrid w:val="0"/>
              <w:jc w:val="center"/>
              <w:rPr>
                <w:rFonts w:ascii="Times New Roman" w:hAnsi="Times New Roman" w:cs="Times New Roman"/>
                <w:b/>
                <w:kern w:val="0"/>
                <w:sz w:val="24"/>
                <w:szCs w:val="24"/>
              </w:rPr>
            </w:pPr>
            <w:r>
              <w:rPr>
                <w:rFonts w:hint="eastAsia" w:ascii="Times New Roman" w:hAnsi="Times New Roman" w:cs="Times New Roman"/>
                <w:b/>
                <w:kern w:val="0"/>
                <w:sz w:val="24"/>
                <w:szCs w:val="24"/>
              </w:rPr>
              <w:t>短期目标</w:t>
            </w:r>
          </w:p>
        </w:tc>
        <w:tc>
          <w:tcPr>
            <w:tcW w:w="1517" w:type="dxa"/>
            <w:vAlign w:val="center"/>
          </w:tcPr>
          <w:p w14:paraId="32F43032">
            <w:pPr>
              <w:widowControl/>
              <w:adjustRightInd w:val="0"/>
              <w:snapToGrid w:val="0"/>
              <w:jc w:val="center"/>
              <w:rPr>
                <w:rFonts w:ascii="Times New Roman" w:hAnsi="Times New Roman" w:cs="Times New Roman"/>
                <w:b/>
                <w:kern w:val="0"/>
                <w:sz w:val="24"/>
                <w:szCs w:val="24"/>
              </w:rPr>
            </w:pPr>
            <w:r>
              <w:rPr>
                <w:rFonts w:hint="eastAsia" w:ascii="Times New Roman" w:hAnsi="Times New Roman" w:cs="Times New Roman"/>
                <w:b/>
                <w:kern w:val="0"/>
                <w:sz w:val="24"/>
                <w:szCs w:val="24"/>
              </w:rPr>
              <w:t>中长期目标</w:t>
            </w:r>
          </w:p>
        </w:tc>
        <w:tc>
          <w:tcPr>
            <w:tcW w:w="993" w:type="dxa"/>
            <w:vAlign w:val="center"/>
          </w:tcPr>
          <w:p w14:paraId="4393439A">
            <w:pPr>
              <w:widowControl/>
              <w:adjustRightInd w:val="0"/>
              <w:snapToGrid w:val="0"/>
              <w:jc w:val="center"/>
              <w:rPr>
                <w:rFonts w:ascii="Times New Roman" w:hAnsi="Times New Roman" w:cs="Times New Roman"/>
                <w:b/>
                <w:kern w:val="0"/>
                <w:sz w:val="24"/>
                <w:szCs w:val="24"/>
              </w:rPr>
            </w:pPr>
            <w:r>
              <w:rPr>
                <w:rFonts w:hint="eastAsia" w:ascii="Times New Roman" w:hAnsi="Times New Roman" w:cs="Times New Roman"/>
                <w:b/>
                <w:kern w:val="0"/>
                <w:sz w:val="24"/>
                <w:szCs w:val="24"/>
              </w:rPr>
              <w:t>报告期内进展</w:t>
            </w:r>
          </w:p>
        </w:tc>
        <w:tc>
          <w:tcPr>
            <w:tcW w:w="1638" w:type="dxa"/>
            <w:vAlign w:val="center"/>
          </w:tcPr>
          <w:p w14:paraId="24A61CFD">
            <w:pPr>
              <w:widowControl/>
              <w:adjustRightInd w:val="0"/>
              <w:snapToGrid w:val="0"/>
              <w:jc w:val="center"/>
              <w:rPr>
                <w:rFonts w:ascii="Times New Roman" w:hAnsi="Times New Roman" w:cs="Times New Roman"/>
                <w:b/>
                <w:kern w:val="0"/>
                <w:sz w:val="24"/>
                <w:szCs w:val="24"/>
              </w:rPr>
            </w:pPr>
            <w:r>
              <w:rPr>
                <w:rFonts w:hint="eastAsia" w:ascii="Times New Roman" w:hAnsi="Times New Roman" w:cs="Times New Roman"/>
                <w:b/>
                <w:kern w:val="0"/>
                <w:sz w:val="24"/>
                <w:szCs w:val="24"/>
              </w:rPr>
              <w:t>目标实现进度</w:t>
            </w:r>
          </w:p>
        </w:tc>
      </w:tr>
      <w:tr w14:paraId="14D94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vMerge w:val="restart"/>
            <w:vAlign w:val="center"/>
          </w:tcPr>
          <w:p w14:paraId="4E2EA4FD">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创新驱动</w:t>
            </w:r>
          </w:p>
        </w:tc>
        <w:tc>
          <w:tcPr>
            <w:tcW w:w="1499" w:type="dxa"/>
            <w:vAlign w:val="center"/>
          </w:tcPr>
          <w:p w14:paraId="6D14BEAE">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碳减排相关研发投入金额占主营业务收入比例</w:t>
            </w:r>
          </w:p>
        </w:tc>
        <w:tc>
          <w:tcPr>
            <w:tcW w:w="1267" w:type="dxa"/>
            <w:vAlign w:val="center"/>
          </w:tcPr>
          <w:p w14:paraId="06782D6B">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到</w:t>
            </w:r>
            <w:r>
              <w:rPr>
                <w:rFonts w:ascii="Times New Roman" w:hAnsi="Times New Roman" w:cs="Times New Roman"/>
                <w:kern w:val="0"/>
                <w:sz w:val="24"/>
                <w:szCs w:val="24"/>
              </w:rPr>
              <w:t>2025</w:t>
            </w:r>
            <w:r>
              <w:rPr>
                <w:rFonts w:hint="eastAsia" w:ascii="Times New Roman" w:hAnsi="Times New Roman" w:cs="Times New Roman"/>
                <w:kern w:val="0"/>
                <w:sz w:val="24"/>
                <w:szCs w:val="24"/>
              </w:rPr>
              <w:t>年，达到</w:t>
            </w:r>
            <m:oMath>
              <m:sSub>
                <m:sSubPr>
                  <m:ctrlPr>
                    <w:rPr>
                      <w:rFonts w:ascii="Cambria Math" w:hAnsi="Cambria Math" w:cs="Times New Roman"/>
                      <w:i/>
                      <w:kern w:val="0"/>
                      <w:sz w:val="24"/>
                      <w:szCs w:val="24"/>
                    </w:rPr>
                  </m:ctrlPr>
                </m:sSubPr>
                <m:e>
                  <m:r>
                    <m:rPr/>
                    <w:rPr>
                      <w:rFonts w:hint="eastAsia" w:ascii="Cambria Math" w:hAnsi="Cambria Math" w:cs="Times New Roman"/>
                      <w:kern w:val="0"/>
                      <w:sz w:val="24"/>
                      <w:szCs w:val="24"/>
                    </w:rPr>
                    <m:t>X</m:t>
                  </m:r>
                  <m:ctrlPr>
                    <w:rPr>
                      <w:rFonts w:ascii="Cambria Math" w:hAnsi="Cambria Math" w:cs="Times New Roman"/>
                      <w:i/>
                      <w:kern w:val="0"/>
                      <w:sz w:val="24"/>
                      <w:szCs w:val="24"/>
                    </w:rPr>
                  </m:ctrlPr>
                </m:e>
                <m:sub>
                  <m:r>
                    <m:rPr/>
                    <w:rPr>
                      <w:rFonts w:ascii="Cambria Math" w:hAnsi="Cambria Math" w:cs="Times New Roman"/>
                      <w:kern w:val="0"/>
                      <w:sz w:val="24"/>
                      <w:szCs w:val="24"/>
                    </w:rPr>
                    <m:t>1</m:t>
                  </m:r>
                  <m:ctrlPr>
                    <w:rPr>
                      <w:rFonts w:ascii="Cambria Math" w:hAnsi="Cambria Math" w:cs="Times New Roman"/>
                      <w:i/>
                      <w:kern w:val="0"/>
                      <w:sz w:val="24"/>
                      <w:szCs w:val="24"/>
                    </w:rPr>
                  </m:ctrlPr>
                </m:sub>
              </m:sSub>
            </m:oMath>
            <w:r>
              <w:rPr>
                <w:rFonts w:ascii="Times New Roman" w:hAnsi="Times New Roman" w:cs="Times New Roman"/>
                <w:kern w:val="0"/>
                <w:sz w:val="24"/>
                <w:szCs w:val="24"/>
              </w:rPr>
              <w:t>%</w:t>
            </w:r>
          </w:p>
        </w:tc>
        <w:tc>
          <w:tcPr>
            <w:tcW w:w="1517" w:type="dxa"/>
            <w:vAlign w:val="center"/>
          </w:tcPr>
          <w:p w14:paraId="14AA465C">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到</w:t>
            </w:r>
            <w:r>
              <w:rPr>
                <w:rFonts w:ascii="Times New Roman" w:hAnsi="Times New Roman" w:cs="Times New Roman"/>
                <w:kern w:val="0"/>
                <w:sz w:val="24"/>
                <w:szCs w:val="24"/>
              </w:rPr>
              <w:t>2030</w:t>
            </w:r>
            <w:r>
              <w:rPr>
                <w:rFonts w:hint="eastAsia" w:ascii="Times New Roman" w:hAnsi="Times New Roman" w:cs="Times New Roman"/>
                <w:kern w:val="0"/>
                <w:sz w:val="24"/>
                <w:szCs w:val="24"/>
              </w:rPr>
              <w:t>年，达到</w:t>
            </w:r>
            <m:oMath>
              <m:sSub>
                <m:sSubPr>
                  <m:ctrlPr>
                    <w:rPr>
                      <w:rFonts w:ascii="Cambria Math" w:hAnsi="Cambria Math" w:cs="Times New Roman"/>
                      <w:i/>
                      <w:kern w:val="0"/>
                      <w:sz w:val="24"/>
                      <w:szCs w:val="24"/>
                    </w:rPr>
                  </m:ctrlPr>
                </m:sSubPr>
                <m:e>
                  <m:r>
                    <m:rPr/>
                    <w:rPr>
                      <w:rFonts w:hint="eastAsia" w:ascii="Cambria Math" w:hAnsi="Cambria Math" w:cs="Times New Roman"/>
                      <w:kern w:val="0"/>
                      <w:sz w:val="24"/>
                      <w:szCs w:val="24"/>
                    </w:rPr>
                    <m:t>X</m:t>
                  </m:r>
                  <m:ctrlPr>
                    <w:rPr>
                      <w:rFonts w:ascii="Cambria Math" w:hAnsi="Cambria Math" w:cs="Times New Roman"/>
                      <w:i/>
                      <w:kern w:val="0"/>
                      <w:sz w:val="24"/>
                      <w:szCs w:val="24"/>
                    </w:rPr>
                  </m:ctrlPr>
                </m:e>
                <m:sub>
                  <m:r>
                    <m:rPr/>
                    <w:rPr>
                      <w:rFonts w:ascii="Cambria Math" w:hAnsi="Cambria Math" w:cs="Times New Roman"/>
                      <w:kern w:val="0"/>
                      <w:sz w:val="24"/>
                      <w:szCs w:val="24"/>
                    </w:rPr>
                    <m:t>2</m:t>
                  </m:r>
                  <m:ctrlPr>
                    <w:rPr>
                      <w:rFonts w:ascii="Cambria Math" w:hAnsi="Cambria Math" w:cs="Times New Roman"/>
                      <w:i/>
                      <w:kern w:val="0"/>
                      <w:sz w:val="24"/>
                      <w:szCs w:val="24"/>
                    </w:rPr>
                  </m:ctrlPr>
                </m:sub>
              </m:sSub>
            </m:oMath>
            <w:r>
              <w:rPr>
                <w:rFonts w:ascii="Times New Roman" w:hAnsi="Times New Roman" w:cs="Times New Roman"/>
                <w:kern w:val="0"/>
                <w:sz w:val="24"/>
                <w:szCs w:val="24"/>
              </w:rPr>
              <w:t>%</w:t>
            </w:r>
          </w:p>
        </w:tc>
        <w:tc>
          <w:tcPr>
            <w:tcW w:w="993" w:type="dxa"/>
            <w:vAlign w:val="center"/>
          </w:tcPr>
          <w:p w14:paraId="4D54554F">
            <w:pPr>
              <w:widowControl/>
              <w:adjustRightInd w:val="0"/>
              <w:snapToGrid w:val="0"/>
              <w:jc w:val="center"/>
              <w:rPr>
                <w:rFonts w:ascii="Times New Roman" w:hAnsi="Times New Roman" w:cs="Times New Roman"/>
                <w:kern w:val="0"/>
                <w:sz w:val="24"/>
                <w:szCs w:val="24"/>
              </w:rPr>
            </w:pPr>
            <m:oMath>
              <m:sSub>
                <m:sSubPr>
                  <m:ctrlPr>
                    <w:rPr>
                      <w:rFonts w:ascii="Cambria Math" w:hAnsi="Cambria Math" w:cs="Times New Roman"/>
                      <w:i/>
                      <w:kern w:val="0"/>
                      <w:sz w:val="24"/>
                      <w:szCs w:val="24"/>
                    </w:rPr>
                  </m:ctrlPr>
                </m:sSubPr>
                <m:e>
                  <m:r>
                    <m:rPr/>
                    <w:rPr>
                      <w:rFonts w:hint="eastAsia" w:ascii="Cambria Math" w:hAnsi="Cambria Math" w:cs="Times New Roman"/>
                      <w:kern w:val="0"/>
                      <w:sz w:val="24"/>
                      <w:szCs w:val="24"/>
                    </w:rPr>
                    <m:t>X</m:t>
                  </m:r>
                  <m:ctrlPr>
                    <w:rPr>
                      <w:rFonts w:ascii="Cambria Math" w:hAnsi="Cambria Math" w:cs="Times New Roman"/>
                      <w:i/>
                      <w:kern w:val="0"/>
                      <w:sz w:val="24"/>
                      <w:szCs w:val="24"/>
                    </w:rPr>
                  </m:ctrlPr>
                </m:e>
                <m:sub>
                  <m:r>
                    <m:rPr/>
                    <w:rPr>
                      <w:rFonts w:ascii="Cambria Math" w:hAnsi="Cambria Math" w:cs="Times New Roman"/>
                      <w:kern w:val="0"/>
                      <w:sz w:val="24"/>
                      <w:szCs w:val="24"/>
                    </w:rPr>
                    <m:t>3</m:t>
                  </m:r>
                  <m:ctrlPr>
                    <w:rPr>
                      <w:rFonts w:ascii="Cambria Math" w:hAnsi="Cambria Math" w:cs="Times New Roman"/>
                      <w:i/>
                      <w:kern w:val="0"/>
                      <w:sz w:val="24"/>
                      <w:szCs w:val="24"/>
                    </w:rPr>
                  </m:ctrlPr>
                </m:sub>
              </m:sSub>
            </m:oMath>
            <w:r>
              <w:rPr>
                <w:rFonts w:ascii="Times New Roman" w:hAnsi="Times New Roman" w:cs="Times New Roman"/>
                <w:kern w:val="0"/>
                <w:sz w:val="24"/>
                <w:szCs w:val="24"/>
              </w:rPr>
              <w:t>%</w:t>
            </w:r>
          </w:p>
        </w:tc>
        <w:tc>
          <w:tcPr>
            <w:tcW w:w="1638" w:type="dxa"/>
            <w:vAlign w:val="center"/>
          </w:tcPr>
          <w:p w14:paraId="466C6241">
            <w:pPr>
              <w:widowControl/>
              <w:numPr>
                <w:ilvl w:val="0"/>
                <w:numId w:val="5"/>
              </w:numPr>
              <w:adjustRightInd w:val="0"/>
              <w:snapToGrid w:val="0"/>
              <w:ind w:left="120" w:hanging="120" w:hangingChars="50"/>
              <w:rPr>
                <w:rFonts w:ascii="Times New Roman" w:hAnsi="Times New Roman" w:cs="Times New Roman"/>
                <w:kern w:val="0"/>
                <w:sz w:val="24"/>
                <w:szCs w:val="24"/>
              </w:rPr>
            </w:pPr>
            <w:r>
              <w:rPr>
                <w:rFonts w:hint="eastAsia" w:ascii="Times New Roman" w:hAnsi="Times New Roman" w:cs="Times New Roman"/>
                <w:kern w:val="0"/>
                <w:sz w:val="24"/>
                <w:szCs w:val="24"/>
              </w:rPr>
              <w:t>短期目标进行中</w:t>
            </w:r>
          </w:p>
          <w:p w14:paraId="24BAFC2C">
            <w:pPr>
              <w:widowControl/>
              <w:numPr>
                <w:ilvl w:val="0"/>
                <w:numId w:val="5"/>
              </w:numPr>
              <w:adjustRightInd w:val="0"/>
              <w:snapToGrid w:val="0"/>
              <w:ind w:left="120" w:hanging="120" w:hangingChars="50"/>
              <w:rPr>
                <w:rFonts w:ascii="Times New Roman" w:hAnsi="Times New Roman" w:cs="Times New Roman"/>
                <w:kern w:val="0"/>
                <w:sz w:val="24"/>
                <w:szCs w:val="24"/>
              </w:rPr>
            </w:pPr>
            <w:r>
              <w:rPr>
                <w:rFonts w:hint="eastAsia" w:ascii="Times New Roman" w:hAnsi="Times New Roman" w:cs="Times New Roman"/>
                <w:kern w:val="0"/>
                <w:sz w:val="24"/>
                <w:szCs w:val="24"/>
              </w:rPr>
              <w:t>较上年增长</w:t>
            </w:r>
            <m:oMath>
              <m:sSub>
                <m:sSubPr>
                  <m:ctrlPr>
                    <w:rPr>
                      <w:rFonts w:ascii="Cambria Math" w:hAnsi="Cambria Math" w:cs="Times New Roman"/>
                      <w:i/>
                      <w:kern w:val="0"/>
                      <w:sz w:val="24"/>
                      <w:szCs w:val="24"/>
                    </w:rPr>
                  </m:ctrlPr>
                </m:sSubPr>
                <m:e>
                  <m:r>
                    <m:rPr/>
                    <w:rPr>
                      <w:rFonts w:hint="eastAsia" w:ascii="Cambria Math" w:hAnsi="Cambria Math" w:cs="Times New Roman"/>
                      <w:kern w:val="0"/>
                      <w:sz w:val="24"/>
                      <w:szCs w:val="24"/>
                    </w:rPr>
                    <m:t>X</m:t>
                  </m:r>
                  <m:ctrlPr>
                    <w:rPr>
                      <w:rFonts w:ascii="Cambria Math" w:hAnsi="Cambria Math" w:cs="Times New Roman"/>
                      <w:i/>
                      <w:kern w:val="0"/>
                      <w:sz w:val="24"/>
                      <w:szCs w:val="24"/>
                    </w:rPr>
                  </m:ctrlPr>
                </m:e>
                <m:sub>
                  <m:r>
                    <m:rPr/>
                    <w:rPr>
                      <w:rFonts w:ascii="Cambria Math" w:hAnsi="Cambria Math" w:cs="Times New Roman"/>
                      <w:kern w:val="0"/>
                      <w:sz w:val="24"/>
                      <w:szCs w:val="24"/>
                    </w:rPr>
                    <m:t>4</m:t>
                  </m:r>
                  <m:ctrlPr>
                    <w:rPr>
                      <w:rFonts w:ascii="Cambria Math" w:hAnsi="Cambria Math" w:cs="Times New Roman"/>
                      <w:i/>
                      <w:kern w:val="0"/>
                      <w:sz w:val="24"/>
                      <w:szCs w:val="24"/>
                    </w:rPr>
                  </m:ctrlPr>
                </m:sub>
              </m:sSub>
            </m:oMath>
            <w:r>
              <w:rPr>
                <w:rFonts w:ascii="Times New Roman" w:hAnsi="Times New Roman" w:cs="Times New Roman"/>
                <w:kern w:val="0"/>
                <w:sz w:val="24"/>
                <w:szCs w:val="24"/>
              </w:rPr>
              <w:t>%</w:t>
            </w:r>
          </w:p>
        </w:tc>
      </w:tr>
      <w:tr w14:paraId="45302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2" w:type="dxa"/>
            <w:vMerge w:val="continue"/>
            <w:vAlign w:val="center"/>
          </w:tcPr>
          <w:p w14:paraId="6FE08E5C">
            <w:pPr>
              <w:widowControl/>
              <w:adjustRightInd w:val="0"/>
              <w:snapToGrid w:val="0"/>
              <w:rPr>
                <w:rFonts w:ascii="Times New Roman" w:hAnsi="Times New Roman" w:cs="Times New Roman"/>
                <w:kern w:val="0"/>
                <w:sz w:val="24"/>
                <w:szCs w:val="24"/>
              </w:rPr>
            </w:pPr>
          </w:p>
        </w:tc>
        <w:tc>
          <w:tcPr>
            <w:tcW w:w="1499" w:type="dxa"/>
            <w:vAlign w:val="center"/>
          </w:tcPr>
          <w:p w14:paraId="77511C51">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研发人员占比</w:t>
            </w:r>
          </w:p>
        </w:tc>
        <w:tc>
          <w:tcPr>
            <w:tcW w:w="1267" w:type="dxa"/>
            <w:vAlign w:val="center"/>
          </w:tcPr>
          <w:p w14:paraId="7F890868">
            <w:pPr>
              <w:widowControl/>
              <w:adjustRightInd w:val="0"/>
              <w:snapToGrid w:val="0"/>
              <w:jc w:val="left"/>
              <w:rPr>
                <w:rFonts w:ascii="Times New Roman" w:hAnsi="Times New Roman" w:cs="Times New Roman"/>
                <w:kern w:val="0"/>
                <w:sz w:val="24"/>
                <w:szCs w:val="24"/>
              </w:rPr>
            </w:pPr>
            <w:r>
              <w:rPr>
                <w:rFonts w:hint="eastAsia" w:ascii="Times New Roman" w:hAnsi="Times New Roman" w:cs="Times New Roman"/>
                <w:kern w:val="0"/>
                <w:sz w:val="24"/>
                <w:szCs w:val="24"/>
              </w:rPr>
              <w:t>到</w:t>
            </w:r>
            <w:r>
              <w:rPr>
                <w:rFonts w:ascii="Times New Roman" w:hAnsi="Times New Roman" w:cs="Times New Roman"/>
                <w:kern w:val="0"/>
                <w:sz w:val="24"/>
                <w:szCs w:val="24"/>
              </w:rPr>
              <w:t>2025</w:t>
            </w:r>
            <w:r>
              <w:rPr>
                <w:rFonts w:hint="eastAsia" w:ascii="Times New Roman" w:hAnsi="Times New Roman" w:cs="Times New Roman"/>
                <w:kern w:val="0"/>
                <w:sz w:val="24"/>
                <w:szCs w:val="24"/>
              </w:rPr>
              <w:t>年，达到</w:t>
            </w:r>
            <m:oMath>
              <m:sSub>
                <m:sSubPr>
                  <m:ctrlPr>
                    <w:rPr>
                      <w:rFonts w:ascii="Cambria Math" w:hAnsi="Cambria Math" w:cs="Times New Roman"/>
                      <w:i/>
                      <w:kern w:val="0"/>
                      <w:sz w:val="24"/>
                      <w:szCs w:val="24"/>
                    </w:rPr>
                  </m:ctrlPr>
                </m:sSubPr>
                <m:e>
                  <m:r>
                    <m:rPr/>
                    <w:rPr>
                      <w:rFonts w:hint="eastAsia" w:ascii="Cambria Math" w:hAnsi="Cambria Math" w:cs="Times New Roman"/>
                      <w:kern w:val="0"/>
                      <w:sz w:val="24"/>
                      <w:szCs w:val="24"/>
                    </w:rPr>
                    <m:t>Y</m:t>
                  </m:r>
                  <m:ctrlPr>
                    <w:rPr>
                      <w:rFonts w:ascii="Cambria Math" w:hAnsi="Cambria Math" w:cs="Times New Roman"/>
                      <w:i/>
                      <w:kern w:val="0"/>
                      <w:sz w:val="24"/>
                      <w:szCs w:val="24"/>
                    </w:rPr>
                  </m:ctrlPr>
                </m:e>
                <m:sub>
                  <m:r>
                    <m:rPr/>
                    <w:rPr>
                      <w:rFonts w:ascii="Cambria Math" w:hAnsi="Cambria Math" w:cs="Times New Roman"/>
                      <w:kern w:val="0"/>
                      <w:sz w:val="24"/>
                      <w:szCs w:val="24"/>
                    </w:rPr>
                    <m:t>1</m:t>
                  </m:r>
                  <m:ctrlPr>
                    <w:rPr>
                      <w:rFonts w:ascii="Cambria Math" w:hAnsi="Cambria Math" w:cs="Times New Roman"/>
                      <w:i/>
                      <w:kern w:val="0"/>
                      <w:sz w:val="24"/>
                      <w:szCs w:val="24"/>
                    </w:rPr>
                  </m:ctrlPr>
                </m:sub>
              </m:sSub>
            </m:oMath>
            <w:r>
              <w:rPr>
                <w:rFonts w:ascii="Times New Roman" w:hAnsi="Times New Roman" w:cs="Times New Roman"/>
                <w:kern w:val="0"/>
                <w:sz w:val="24"/>
                <w:szCs w:val="24"/>
              </w:rPr>
              <w:t>%</w:t>
            </w:r>
          </w:p>
        </w:tc>
        <w:tc>
          <w:tcPr>
            <w:tcW w:w="1517" w:type="dxa"/>
            <w:vAlign w:val="center"/>
          </w:tcPr>
          <w:p w14:paraId="70F4312E">
            <w:pPr>
              <w:widowControl/>
              <w:adjustRightInd w:val="0"/>
              <w:snapToGrid w:val="0"/>
              <w:rPr>
                <w:rFonts w:ascii="Times New Roman" w:hAnsi="Times New Roman" w:cs="Times New Roman"/>
                <w:kern w:val="0"/>
                <w:sz w:val="24"/>
                <w:szCs w:val="24"/>
              </w:rPr>
            </w:pPr>
            <w:r>
              <w:rPr>
                <w:rFonts w:hint="eastAsia" w:ascii="Times New Roman" w:hAnsi="Times New Roman" w:cs="Times New Roman"/>
                <w:kern w:val="0"/>
                <w:sz w:val="24"/>
                <w:szCs w:val="24"/>
              </w:rPr>
              <w:t>到</w:t>
            </w:r>
            <w:r>
              <w:rPr>
                <w:rFonts w:ascii="Times New Roman" w:hAnsi="Times New Roman" w:cs="Times New Roman"/>
                <w:kern w:val="0"/>
                <w:sz w:val="24"/>
                <w:szCs w:val="24"/>
              </w:rPr>
              <w:t>2028</w:t>
            </w:r>
            <w:r>
              <w:rPr>
                <w:rFonts w:hint="eastAsia" w:ascii="Times New Roman" w:hAnsi="Times New Roman" w:cs="Times New Roman"/>
                <w:kern w:val="0"/>
                <w:sz w:val="24"/>
                <w:szCs w:val="24"/>
              </w:rPr>
              <w:t>年，达到</w:t>
            </w:r>
            <m:oMath>
              <m:sSub>
                <m:sSubPr>
                  <m:ctrlPr>
                    <w:rPr>
                      <w:rFonts w:ascii="Cambria Math" w:hAnsi="Cambria Math" w:cs="Times New Roman"/>
                      <w:i/>
                      <w:kern w:val="0"/>
                      <w:sz w:val="24"/>
                      <w:szCs w:val="24"/>
                    </w:rPr>
                  </m:ctrlPr>
                </m:sSubPr>
                <m:e>
                  <m:r>
                    <m:rPr/>
                    <w:rPr>
                      <w:rFonts w:hint="eastAsia" w:ascii="Cambria Math" w:hAnsi="Cambria Math" w:cs="Times New Roman"/>
                      <w:kern w:val="0"/>
                      <w:sz w:val="24"/>
                      <w:szCs w:val="24"/>
                    </w:rPr>
                    <m:t>Y</m:t>
                  </m:r>
                  <m:ctrlPr>
                    <w:rPr>
                      <w:rFonts w:ascii="Cambria Math" w:hAnsi="Cambria Math" w:cs="Times New Roman"/>
                      <w:i/>
                      <w:kern w:val="0"/>
                      <w:sz w:val="24"/>
                      <w:szCs w:val="24"/>
                    </w:rPr>
                  </m:ctrlPr>
                </m:e>
                <m:sub>
                  <m:r>
                    <m:rPr/>
                    <w:rPr>
                      <w:rFonts w:ascii="Cambria Math" w:hAnsi="Cambria Math" w:cs="Times New Roman"/>
                      <w:kern w:val="0"/>
                      <w:sz w:val="24"/>
                      <w:szCs w:val="24"/>
                    </w:rPr>
                    <m:t>2</m:t>
                  </m:r>
                  <m:ctrlPr>
                    <w:rPr>
                      <w:rFonts w:ascii="Cambria Math" w:hAnsi="Cambria Math" w:cs="Times New Roman"/>
                      <w:i/>
                      <w:kern w:val="0"/>
                      <w:sz w:val="24"/>
                      <w:szCs w:val="24"/>
                    </w:rPr>
                  </m:ctrlPr>
                </m:sub>
              </m:sSub>
            </m:oMath>
            <w:r>
              <w:rPr>
                <w:rFonts w:ascii="Times New Roman" w:hAnsi="Times New Roman" w:cs="Times New Roman"/>
                <w:kern w:val="0"/>
                <w:sz w:val="24"/>
                <w:szCs w:val="24"/>
              </w:rPr>
              <w:t>%</w:t>
            </w:r>
          </w:p>
        </w:tc>
        <w:tc>
          <w:tcPr>
            <w:tcW w:w="993" w:type="dxa"/>
            <w:vAlign w:val="center"/>
          </w:tcPr>
          <w:p w14:paraId="28431C11">
            <w:pPr>
              <w:widowControl/>
              <w:adjustRightInd w:val="0"/>
              <w:snapToGrid w:val="0"/>
              <w:jc w:val="center"/>
              <w:rPr>
                <w:rFonts w:ascii="Times New Roman" w:hAnsi="Times New Roman" w:cs="Times New Roman"/>
                <w:kern w:val="0"/>
                <w:sz w:val="24"/>
                <w:szCs w:val="24"/>
              </w:rPr>
            </w:pPr>
            <m:oMath>
              <m:sSub>
                <m:sSubPr>
                  <m:ctrlPr>
                    <w:rPr>
                      <w:rFonts w:ascii="Cambria Math" w:hAnsi="Cambria Math" w:cs="Times New Roman"/>
                      <w:i/>
                      <w:kern w:val="0"/>
                      <w:sz w:val="24"/>
                      <w:szCs w:val="24"/>
                    </w:rPr>
                  </m:ctrlPr>
                </m:sSubPr>
                <m:e>
                  <m:r>
                    <m:rPr/>
                    <w:rPr>
                      <w:rFonts w:hint="eastAsia" w:ascii="Cambria Math" w:hAnsi="Cambria Math" w:cs="Times New Roman"/>
                      <w:kern w:val="0"/>
                      <w:sz w:val="24"/>
                      <w:szCs w:val="24"/>
                    </w:rPr>
                    <m:t>Y</m:t>
                  </m:r>
                  <m:ctrlPr>
                    <w:rPr>
                      <w:rFonts w:ascii="Cambria Math" w:hAnsi="Cambria Math" w:cs="Times New Roman"/>
                      <w:i/>
                      <w:kern w:val="0"/>
                      <w:sz w:val="24"/>
                      <w:szCs w:val="24"/>
                    </w:rPr>
                  </m:ctrlPr>
                </m:e>
                <m:sub>
                  <m:r>
                    <m:rPr/>
                    <w:rPr>
                      <w:rFonts w:ascii="Cambria Math" w:hAnsi="Cambria Math" w:cs="Times New Roman"/>
                      <w:kern w:val="0"/>
                      <w:sz w:val="24"/>
                      <w:szCs w:val="24"/>
                    </w:rPr>
                    <m:t>3</m:t>
                  </m:r>
                  <m:ctrlPr>
                    <w:rPr>
                      <w:rFonts w:ascii="Cambria Math" w:hAnsi="Cambria Math" w:cs="Times New Roman"/>
                      <w:i/>
                      <w:kern w:val="0"/>
                      <w:sz w:val="24"/>
                      <w:szCs w:val="24"/>
                    </w:rPr>
                  </m:ctrlPr>
                </m:sub>
              </m:sSub>
            </m:oMath>
            <w:r>
              <w:rPr>
                <w:rFonts w:ascii="Times New Roman" w:hAnsi="Times New Roman" w:cs="Times New Roman"/>
                <w:kern w:val="0"/>
                <w:sz w:val="24"/>
                <w:szCs w:val="24"/>
              </w:rPr>
              <w:t>%</w:t>
            </w:r>
          </w:p>
        </w:tc>
        <w:tc>
          <w:tcPr>
            <w:tcW w:w="1638" w:type="dxa"/>
            <w:vAlign w:val="center"/>
          </w:tcPr>
          <w:p w14:paraId="37AC02D4">
            <w:pPr>
              <w:widowControl/>
              <w:numPr>
                <w:ilvl w:val="0"/>
                <w:numId w:val="5"/>
              </w:numPr>
              <w:adjustRightInd w:val="0"/>
              <w:snapToGrid w:val="0"/>
              <w:ind w:left="120" w:hanging="120" w:hangingChars="50"/>
              <w:rPr>
                <w:rFonts w:ascii="Times New Roman" w:hAnsi="Times New Roman" w:cs="Times New Roman"/>
                <w:kern w:val="0"/>
                <w:sz w:val="24"/>
                <w:szCs w:val="24"/>
              </w:rPr>
            </w:pPr>
            <w:r>
              <w:rPr>
                <w:rFonts w:hint="eastAsia" w:ascii="Times New Roman" w:hAnsi="Times New Roman" w:cs="Times New Roman"/>
                <w:kern w:val="0"/>
                <w:sz w:val="24"/>
                <w:szCs w:val="24"/>
              </w:rPr>
              <w:t>短期目标已实现</w:t>
            </w:r>
          </w:p>
        </w:tc>
      </w:tr>
    </w:tbl>
    <w:p w14:paraId="27F721B4">
      <w:pPr>
        <w:widowControl/>
        <w:adjustRightInd w:val="0"/>
        <w:snapToGrid w:val="0"/>
        <w:spacing w:line="560" w:lineRule="exact"/>
        <w:jc w:val="center"/>
        <w:rPr>
          <w:rFonts w:ascii="Times New Roman" w:hAnsi="Times New Roman" w:cs="Times New Roman"/>
          <w:szCs w:val="30"/>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2</w:t>
      </w:r>
      <w:r>
        <w:rPr>
          <w:rFonts w:hint="eastAsia" w:ascii="Times New Roman" w:hAnsi="Times New Roman" w:eastAsia="黑体" w:cs="Times New Roman"/>
          <w:sz w:val="24"/>
          <w:szCs w:val="24"/>
          <w:lang w:bidi="ar"/>
        </w:rPr>
        <w:t>6：指标的披露框架参考</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351B1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5000" w:type="pct"/>
          </w:tcPr>
          <w:p w14:paraId="3A813995">
            <w:pPr>
              <w:widowControl/>
              <w:tabs>
                <w:tab w:val="left" w:pos="420"/>
              </w:tabs>
              <w:adjustRightInd w:val="0"/>
              <w:snapToGrid w:val="0"/>
              <w:spacing w:line="400" w:lineRule="exact"/>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指标定义；</w:t>
            </w:r>
          </w:p>
        </w:tc>
      </w:tr>
      <w:tr w14:paraId="0757E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5000" w:type="pct"/>
          </w:tcPr>
          <w:p w14:paraId="126256A7">
            <w:pPr>
              <w:widowControl/>
              <w:tabs>
                <w:tab w:val="left" w:pos="420"/>
              </w:tabs>
              <w:adjustRightInd w:val="0"/>
              <w:snapToGrid w:val="0"/>
              <w:spacing w:line="400" w:lineRule="exact"/>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指标类型，包括该指标是绝对值、相对值还是定性指标，采用何种计量单位等；</w:t>
            </w:r>
          </w:p>
        </w:tc>
      </w:tr>
      <w:tr w14:paraId="7A04D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40616305">
            <w:pPr>
              <w:widowControl/>
              <w:tabs>
                <w:tab w:val="left" w:pos="420"/>
              </w:tabs>
              <w:adjustRightInd w:val="0"/>
              <w:snapToGrid w:val="0"/>
              <w:spacing w:line="400" w:lineRule="exact"/>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指标计算方法、关键假设、方法的局限性以及使用的输入值或者参数等；</w:t>
            </w:r>
          </w:p>
        </w:tc>
      </w:tr>
      <w:tr w14:paraId="33FA5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14:paraId="2C8BF57A">
            <w:pPr>
              <w:widowControl/>
              <w:tabs>
                <w:tab w:val="left" w:pos="420"/>
              </w:tabs>
              <w:adjustRightInd w:val="0"/>
              <w:snapToGrid w:val="0"/>
              <w:spacing w:line="400" w:lineRule="exact"/>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指标计算方法及结果是否以及如何经独立第三方验证；</w:t>
            </w:r>
          </w:p>
        </w:tc>
      </w:tr>
      <w:tr w14:paraId="19AF5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tcPr>
          <w:p w14:paraId="2FB047CB">
            <w:pPr>
              <w:widowControl/>
              <w:tabs>
                <w:tab w:val="left" w:pos="420"/>
              </w:tabs>
              <w:adjustRightInd w:val="0"/>
              <w:snapToGrid w:val="0"/>
              <w:spacing w:line="400" w:lineRule="exact"/>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指标的修订及原因（如适用）。</w:t>
            </w:r>
          </w:p>
        </w:tc>
      </w:tr>
    </w:tbl>
    <w:p w14:paraId="4962BCBF">
      <w:pPr>
        <w:adjustRightInd w:val="0"/>
        <w:snapToGrid w:val="0"/>
        <w:spacing w:line="560" w:lineRule="exact"/>
        <w:ind w:firstLine="600" w:firstLineChars="200"/>
        <w:rPr>
          <w:rFonts w:ascii="Times New Roman" w:hAnsi="Times New Roman" w:cs="Times New Roman"/>
          <w:szCs w:val="30"/>
          <w:lang w:bidi="ar"/>
        </w:rPr>
      </w:pPr>
      <w:bookmarkStart w:id="389" w:name="OLE_LINK1"/>
      <w:r>
        <w:rPr>
          <w:rFonts w:hint="eastAsia" w:ascii="Times New Roman" w:hAnsi="Times New Roman" w:cs="Times New Roman"/>
          <w:szCs w:val="30"/>
          <w:lang w:bidi="ar"/>
        </w:rPr>
        <w:t>每个披露项根据其定性或定量分类，应包含内容要点（对定性披露项），或定义、计算公式、参数、依据（对定量披露项）。</w:t>
      </w:r>
    </w:p>
    <w:p w14:paraId="47B07400">
      <w:pPr>
        <w:widowControl/>
        <w:adjustRightInd w:val="0"/>
        <w:snapToGrid w:val="0"/>
        <w:spacing w:line="560" w:lineRule="exact"/>
        <w:jc w:val="center"/>
        <w:rPr>
          <w:rFonts w:ascii="Times New Roman" w:hAnsi="Times New Roman" w:cs="Times New Roman"/>
          <w:szCs w:val="30"/>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2</w:t>
      </w:r>
      <w:r>
        <w:rPr>
          <w:rFonts w:hint="eastAsia" w:ascii="Times New Roman" w:hAnsi="Times New Roman" w:eastAsia="黑体" w:cs="Times New Roman"/>
          <w:sz w:val="24"/>
          <w:szCs w:val="24"/>
          <w:lang w:bidi="ar"/>
        </w:rPr>
        <w:t>7：定性披露项披露要点参考示例</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99"/>
        <w:gridCol w:w="5323"/>
      </w:tblGrid>
      <w:tr w14:paraId="0001C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7" w:type="pct"/>
            <w:vAlign w:val="center"/>
          </w:tcPr>
          <w:p w14:paraId="29A0C227">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定性披露项</w:t>
            </w:r>
          </w:p>
        </w:tc>
        <w:tc>
          <w:tcPr>
            <w:tcW w:w="3123" w:type="pct"/>
            <w:vAlign w:val="center"/>
          </w:tcPr>
          <w:p w14:paraId="38EB07ED">
            <w:pPr>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内容要点</w:t>
            </w:r>
          </w:p>
        </w:tc>
      </w:tr>
      <w:tr w14:paraId="7DEA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77" w:type="pct"/>
            <w:vAlign w:val="center"/>
          </w:tcPr>
          <w:p w14:paraId="46A2CCE5">
            <w:pPr>
              <w:autoSpaceDE w:val="0"/>
              <w:autoSpaceDN w:val="0"/>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公司涉及能源利用的主要运营环节及能源类别</w:t>
            </w:r>
          </w:p>
        </w:tc>
        <w:tc>
          <w:tcPr>
            <w:tcW w:w="3123" w:type="pct"/>
            <w:vAlign w:val="center"/>
          </w:tcPr>
          <w:p w14:paraId="686206CE">
            <w:pPr>
              <w:autoSpaceDE w:val="0"/>
              <w:autoSpaceDN w:val="0"/>
              <w:adjustRightInd w:val="0"/>
              <w:snapToGrid w:val="0"/>
              <w:spacing w:line="241" w:lineRule="atLeast"/>
              <w:rPr>
                <w:rFonts w:ascii="Times New Roman" w:hAnsi="Times New Roman" w:cs="Times New Roman"/>
                <w:kern w:val="0"/>
                <w:sz w:val="24"/>
                <w:szCs w:val="24"/>
              </w:rPr>
            </w:pPr>
            <w:r>
              <w:rPr>
                <w:rFonts w:hint="eastAsia" w:ascii="Times New Roman" w:hAnsi="Times New Roman" w:cs="Times New Roman"/>
                <w:kern w:val="0"/>
                <w:sz w:val="24"/>
                <w:szCs w:val="24"/>
              </w:rPr>
              <w:t>能源利用涉及的运营环节包括但不限于生产、办公环节等，需说明各环节涉及的能源类型，包括煤炭、石油、电力等传统能源，以及天然气、风能、太阳能、水能等清洁能源。</w:t>
            </w:r>
          </w:p>
        </w:tc>
      </w:tr>
      <w:tr w14:paraId="37CFB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7" w:type="pct"/>
            <w:vAlign w:val="center"/>
          </w:tcPr>
          <w:p w14:paraId="5AB6EB16">
            <w:pPr>
              <w:autoSpaceDE w:val="0"/>
              <w:autoSpaceDN w:val="0"/>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公司在能源利用方面的治理结构和内部制度</w:t>
            </w:r>
          </w:p>
        </w:tc>
        <w:tc>
          <w:tcPr>
            <w:tcW w:w="3123" w:type="pct"/>
            <w:vAlign w:val="center"/>
          </w:tcPr>
          <w:p w14:paraId="283A4351">
            <w:pPr>
              <w:autoSpaceDE w:val="0"/>
              <w:autoSpaceDN w:val="0"/>
              <w:adjustRightInd w:val="0"/>
              <w:snapToGrid w:val="0"/>
              <w:spacing w:line="241" w:lineRule="atLeast"/>
              <w:rPr>
                <w:rFonts w:ascii="Times New Roman" w:hAnsi="Times New Roman" w:cs="Times New Roman"/>
                <w:kern w:val="0"/>
                <w:sz w:val="24"/>
                <w:szCs w:val="24"/>
              </w:rPr>
            </w:pPr>
            <w:r>
              <w:rPr>
                <w:rFonts w:hint="eastAsia" w:ascii="Times New Roman" w:hAnsi="Times New Roman" w:cs="Times New Roman"/>
                <w:kern w:val="0"/>
                <w:sz w:val="24"/>
                <w:szCs w:val="24"/>
              </w:rPr>
              <w:t>治理架构包括但不限于公司能源管理体系建设情况、人员构成及专业能力、职权范围、信息报告机制，以及监督程序、监督措施及考核情况等。</w:t>
            </w:r>
          </w:p>
        </w:tc>
      </w:tr>
      <w:tr w14:paraId="22417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77" w:type="pct"/>
            <w:vAlign w:val="center"/>
          </w:tcPr>
          <w:p w14:paraId="104AD230">
            <w:pPr>
              <w:autoSpaceDE w:val="0"/>
              <w:autoSpaceDN w:val="0"/>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公司在能源利用方面的规划（策略和方法）</w:t>
            </w:r>
          </w:p>
        </w:tc>
        <w:tc>
          <w:tcPr>
            <w:tcW w:w="3123" w:type="pct"/>
            <w:vAlign w:val="center"/>
          </w:tcPr>
          <w:p w14:paraId="559091B6">
            <w:pPr>
              <w:autoSpaceDE w:val="0"/>
              <w:autoSpaceDN w:val="0"/>
              <w:adjustRightInd w:val="0"/>
              <w:snapToGrid w:val="0"/>
              <w:spacing w:line="241" w:lineRule="atLeast"/>
              <w:rPr>
                <w:rFonts w:ascii="Times New Roman" w:hAnsi="Times New Roman" w:cs="Times New Roman"/>
                <w:kern w:val="0"/>
                <w:sz w:val="24"/>
                <w:szCs w:val="24"/>
              </w:rPr>
            </w:pPr>
            <w:r>
              <w:rPr>
                <w:rFonts w:hint="eastAsia" w:ascii="Times New Roman" w:hAnsi="Times New Roman" w:cs="Times New Roman"/>
                <w:kern w:val="0"/>
                <w:sz w:val="24"/>
                <w:szCs w:val="24"/>
              </w:rPr>
              <w:t>公司识别出的能源利用相关影响、风险及机遇，包括类别、影响的时间范围、影响的程度等，以及公司为应对能源利用相关影响、风险和机遇，制定的战略规划、管理策略，或做出的商业模式调整等。</w:t>
            </w:r>
          </w:p>
        </w:tc>
      </w:tr>
      <w:tr w14:paraId="26281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7" w:type="pct"/>
            <w:vAlign w:val="center"/>
          </w:tcPr>
          <w:p w14:paraId="4E84F980">
            <w:pPr>
              <w:autoSpaceDE w:val="0"/>
              <w:autoSpaceDN w:val="0"/>
              <w:adjustRightInd w:val="0"/>
              <w:snapToGrid w:val="0"/>
              <w:jc w:val="center"/>
              <w:rPr>
                <w:rFonts w:ascii="Times New Roman" w:hAnsi="Times New Roman" w:cs="Times New Roman"/>
                <w:kern w:val="0"/>
                <w:sz w:val="24"/>
                <w:szCs w:val="24"/>
              </w:rPr>
            </w:pPr>
            <w:r>
              <w:rPr>
                <w:rFonts w:hint="eastAsia" w:ascii="Times New Roman" w:hAnsi="Times New Roman" w:cs="Times New Roman"/>
                <w:kern w:val="0"/>
                <w:sz w:val="24"/>
                <w:szCs w:val="24"/>
              </w:rPr>
              <w:t>公司在能源利用方面的管理流程和措施</w:t>
            </w:r>
          </w:p>
        </w:tc>
        <w:tc>
          <w:tcPr>
            <w:tcW w:w="3123" w:type="pct"/>
            <w:vAlign w:val="center"/>
          </w:tcPr>
          <w:p w14:paraId="3DAC8F84">
            <w:pPr>
              <w:autoSpaceDE w:val="0"/>
              <w:autoSpaceDN w:val="0"/>
              <w:adjustRightInd w:val="0"/>
              <w:snapToGrid w:val="0"/>
              <w:spacing w:line="241" w:lineRule="atLeast"/>
              <w:rPr>
                <w:rFonts w:ascii="Times New Roman" w:hAnsi="Times New Roman" w:cs="Times New Roman"/>
                <w:kern w:val="0"/>
                <w:sz w:val="24"/>
                <w:szCs w:val="24"/>
              </w:rPr>
            </w:pPr>
            <w:r>
              <w:rPr>
                <w:rFonts w:hint="eastAsia" w:ascii="Times New Roman" w:hAnsi="Times New Roman" w:cs="Times New Roman"/>
                <w:kern w:val="0"/>
                <w:sz w:val="24"/>
                <w:szCs w:val="24"/>
              </w:rPr>
              <w:t>管理流程包括公司对能源利用相关影响、风险和机遇，进行识别、评估、排序、监测和管理的流程；管理措施包括但不限于采购节能生产设备、节能照明设备、节能温控设备，采用余热余压利用、能源梯级利用等。</w:t>
            </w:r>
          </w:p>
        </w:tc>
      </w:tr>
      <w:tr w14:paraId="15120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77" w:type="pct"/>
            <w:vAlign w:val="center"/>
          </w:tcPr>
          <w:p w14:paraId="510ED848">
            <w:pPr>
              <w:autoSpaceDE w:val="0"/>
              <w:autoSpaceDN w:val="0"/>
              <w:adjustRightInd w:val="0"/>
              <w:snapToGrid w:val="0"/>
              <w:rPr>
                <w:rFonts w:ascii="Times New Roman" w:hAnsi="Times New Roman" w:cs="Times New Roman"/>
                <w:kern w:val="0"/>
                <w:sz w:val="24"/>
                <w:szCs w:val="24"/>
              </w:rPr>
            </w:pPr>
            <w:r>
              <w:rPr>
                <w:rFonts w:ascii="Times New Roman" w:hAnsi="Times New Roman" w:cs="Times New Roman"/>
                <w:kern w:val="0"/>
                <w:sz w:val="24"/>
                <w:szCs w:val="24"/>
              </w:rPr>
              <w:t>……</w:t>
            </w:r>
          </w:p>
        </w:tc>
        <w:tc>
          <w:tcPr>
            <w:tcW w:w="3123" w:type="pct"/>
            <w:vAlign w:val="center"/>
          </w:tcPr>
          <w:p w14:paraId="116E12F0">
            <w:pPr>
              <w:autoSpaceDE w:val="0"/>
              <w:autoSpaceDN w:val="0"/>
              <w:adjustRightInd w:val="0"/>
              <w:snapToGrid w:val="0"/>
              <w:spacing w:line="241" w:lineRule="atLeast"/>
              <w:rPr>
                <w:rFonts w:ascii="Times New Roman" w:hAnsi="Times New Roman" w:cs="Times New Roman"/>
                <w:kern w:val="0"/>
                <w:sz w:val="24"/>
                <w:szCs w:val="24"/>
              </w:rPr>
            </w:pPr>
            <w:r>
              <w:rPr>
                <w:rFonts w:ascii="Times New Roman" w:hAnsi="Times New Roman" w:cs="Times New Roman"/>
                <w:kern w:val="0"/>
                <w:sz w:val="24"/>
                <w:szCs w:val="24"/>
              </w:rPr>
              <w:t>……</w:t>
            </w:r>
          </w:p>
        </w:tc>
      </w:tr>
    </w:tbl>
    <w:p w14:paraId="5292F6EF">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w:t>
      </w:r>
      <w:r>
        <w:rPr>
          <w:rFonts w:ascii="Times New Roman" w:hAnsi="Times New Roman" w:eastAsia="黑体" w:cs="Times New Roman"/>
          <w:sz w:val="24"/>
          <w:szCs w:val="24"/>
          <w:lang w:bidi="ar"/>
        </w:rPr>
        <w:t>2</w:t>
      </w:r>
      <w:r>
        <w:rPr>
          <w:rFonts w:hint="eastAsia" w:ascii="Times New Roman" w:hAnsi="Times New Roman" w:eastAsia="黑体" w:cs="Times New Roman"/>
          <w:sz w:val="24"/>
          <w:szCs w:val="24"/>
          <w:lang w:bidi="ar"/>
        </w:rPr>
        <w:t>8：定量披露项披露要点参考示例</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7"/>
        <w:gridCol w:w="757"/>
        <w:gridCol w:w="1851"/>
        <w:gridCol w:w="2187"/>
        <w:gridCol w:w="1164"/>
        <w:gridCol w:w="1246"/>
      </w:tblGrid>
      <w:tr w14:paraId="7DDB7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7" w:hRule="atLeast"/>
        </w:trPr>
        <w:tc>
          <w:tcPr>
            <w:tcW w:w="773" w:type="pct"/>
            <w:shd w:val="clear" w:color="auto" w:fill="auto"/>
            <w:vAlign w:val="center"/>
          </w:tcPr>
          <w:p w14:paraId="6763EEEF">
            <w:pPr>
              <w:widowControl/>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定量披露项</w:t>
            </w:r>
          </w:p>
        </w:tc>
        <w:tc>
          <w:tcPr>
            <w:tcW w:w="444" w:type="pct"/>
            <w:shd w:val="clear" w:color="auto" w:fill="auto"/>
            <w:vAlign w:val="center"/>
          </w:tcPr>
          <w:p w14:paraId="39B18BE9">
            <w:pPr>
              <w:widowControl/>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单位</w:t>
            </w:r>
          </w:p>
        </w:tc>
        <w:tc>
          <w:tcPr>
            <w:tcW w:w="1086" w:type="pct"/>
            <w:shd w:val="clear" w:color="auto" w:fill="auto"/>
            <w:vAlign w:val="center"/>
          </w:tcPr>
          <w:p w14:paraId="4B86BB7E">
            <w:pPr>
              <w:widowControl/>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定义</w:t>
            </w:r>
          </w:p>
        </w:tc>
        <w:tc>
          <w:tcPr>
            <w:tcW w:w="1283" w:type="pct"/>
            <w:shd w:val="clear" w:color="auto" w:fill="auto"/>
            <w:vAlign w:val="center"/>
          </w:tcPr>
          <w:p w14:paraId="450B3A13">
            <w:pPr>
              <w:widowControl/>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计算公式</w:t>
            </w:r>
          </w:p>
        </w:tc>
        <w:tc>
          <w:tcPr>
            <w:tcW w:w="683" w:type="pct"/>
            <w:shd w:val="clear" w:color="auto" w:fill="auto"/>
            <w:vAlign w:val="center"/>
          </w:tcPr>
          <w:p w14:paraId="57AF12E4">
            <w:pPr>
              <w:widowControl/>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参数</w:t>
            </w:r>
          </w:p>
        </w:tc>
        <w:tc>
          <w:tcPr>
            <w:tcW w:w="731" w:type="pct"/>
            <w:shd w:val="clear" w:color="auto" w:fill="auto"/>
            <w:vAlign w:val="center"/>
          </w:tcPr>
          <w:p w14:paraId="072A74E6">
            <w:pPr>
              <w:widowControl/>
              <w:adjustRightInd w:val="0"/>
              <w:snapToGrid w:val="0"/>
              <w:jc w:val="center"/>
              <w:rPr>
                <w:rFonts w:ascii="Times New Roman" w:hAnsi="Times New Roman" w:cs="Times New Roman"/>
                <w:b/>
                <w:bCs/>
                <w:kern w:val="0"/>
                <w:sz w:val="24"/>
                <w:szCs w:val="24"/>
                <w:lang w:bidi="ar"/>
              </w:rPr>
            </w:pPr>
            <w:r>
              <w:rPr>
                <w:rFonts w:hint="eastAsia" w:ascii="Times New Roman" w:hAnsi="Times New Roman" w:cs="Times New Roman"/>
                <w:b/>
                <w:bCs/>
                <w:kern w:val="0"/>
                <w:sz w:val="24"/>
                <w:szCs w:val="24"/>
                <w:lang w:bidi="ar"/>
              </w:rPr>
              <w:t>参数来源</w:t>
            </w:r>
            <w:r>
              <w:rPr>
                <w:rFonts w:ascii="Times New Roman" w:hAnsi="Times New Roman" w:cs="Times New Roman"/>
                <w:b/>
                <w:bCs/>
                <w:kern w:val="0"/>
                <w:sz w:val="24"/>
                <w:szCs w:val="24"/>
                <w:lang w:bidi="ar"/>
              </w:rPr>
              <w:t>/</w:t>
            </w:r>
            <w:r>
              <w:rPr>
                <w:rFonts w:hint="eastAsia" w:ascii="Times New Roman" w:hAnsi="Times New Roman" w:cs="Times New Roman"/>
                <w:b/>
                <w:bCs/>
                <w:kern w:val="0"/>
                <w:sz w:val="24"/>
                <w:szCs w:val="24"/>
                <w:lang w:bidi="ar"/>
              </w:rPr>
              <w:t>依据</w:t>
            </w:r>
          </w:p>
        </w:tc>
      </w:tr>
      <w:tr w14:paraId="191B4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3" w:type="pct"/>
            <w:shd w:val="clear" w:color="auto" w:fill="auto"/>
            <w:vAlign w:val="center"/>
          </w:tcPr>
          <w:p w14:paraId="232A6C99">
            <w:pPr>
              <w:widowControl/>
              <w:adjustRightInd w:val="0"/>
              <w:snapToGrid w:val="0"/>
              <w:rPr>
                <w:rFonts w:ascii="Times New Roman" w:hAnsi="Times New Roman" w:cs="Times New Roman"/>
                <w:kern w:val="0"/>
                <w:sz w:val="24"/>
                <w:szCs w:val="24"/>
                <w:lang w:bidi="ar"/>
              </w:rPr>
            </w:pPr>
            <w:bookmarkStart w:id="390" w:name="OLE_LINK2"/>
            <w:r>
              <w:rPr>
                <w:rFonts w:hint="eastAsia" w:ascii="Times New Roman" w:hAnsi="Times New Roman" w:cs="Times New Roman"/>
                <w:kern w:val="0"/>
                <w:sz w:val="24"/>
                <w:szCs w:val="24"/>
                <w:lang w:bidi="ar"/>
              </w:rPr>
              <w:t>综合能源消耗量</w:t>
            </w:r>
            <w:bookmarkEnd w:id="390"/>
          </w:p>
        </w:tc>
        <w:tc>
          <w:tcPr>
            <w:tcW w:w="444" w:type="pct"/>
            <w:shd w:val="clear" w:color="auto" w:fill="auto"/>
            <w:vAlign w:val="center"/>
          </w:tcPr>
          <w:p w14:paraId="742AD782">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吨标煤</w:t>
            </w:r>
          </w:p>
        </w:tc>
        <w:tc>
          <w:tcPr>
            <w:tcW w:w="1086" w:type="pct"/>
            <w:shd w:val="clear" w:color="auto" w:fill="auto"/>
            <w:vAlign w:val="center"/>
          </w:tcPr>
          <w:p w14:paraId="008D1B2C">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报告期内企业消耗各类能源的吨标准煤折算总量。</w:t>
            </w:r>
          </w:p>
        </w:tc>
        <w:tc>
          <w:tcPr>
            <w:tcW w:w="1283" w:type="pct"/>
            <w:shd w:val="clear" w:color="auto" w:fill="auto"/>
            <w:vAlign w:val="center"/>
          </w:tcPr>
          <w:p w14:paraId="1E15A736">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原煤用量</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折标准煤系数</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天然气用量</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折标准煤系数</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汽油用量</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折标准煤系数</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柴油用量</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折标准煤系数</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电力用量</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折标准煤系数</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热力（如蒸汽）用量</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折标准煤系数</w:t>
            </w:r>
            <w:r>
              <w:rPr>
                <w:rFonts w:ascii="Times New Roman" w:hAnsi="Times New Roman" w:cs="Times New Roman"/>
                <w:kern w:val="0"/>
                <w:sz w:val="24"/>
                <w:szCs w:val="24"/>
                <w:lang w:bidi="ar"/>
              </w:rPr>
              <w:t>+</w:t>
            </w:r>
            <w:r>
              <w:rPr>
                <w:rFonts w:hint="eastAsia" w:ascii="Times New Roman" w:hAnsi="Times New Roman" w:cs="Times New Roman"/>
                <w:kern w:val="0"/>
                <w:sz w:val="24"/>
                <w:szCs w:val="24"/>
                <w:lang w:bidi="ar"/>
              </w:rPr>
              <w:t>其他类型能源用量（折算为标准煤）</w:t>
            </w:r>
          </w:p>
        </w:tc>
        <w:tc>
          <w:tcPr>
            <w:tcW w:w="683" w:type="pct"/>
            <w:shd w:val="clear" w:color="auto" w:fill="auto"/>
            <w:vAlign w:val="center"/>
          </w:tcPr>
          <w:p w14:paraId="180D9CDB">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各种能源折标准煤系数，例如汽油1.</w:t>
            </w:r>
            <w:r>
              <w:rPr>
                <w:rFonts w:ascii="Times New Roman" w:hAnsi="Times New Roman" w:cs="Times New Roman"/>
                <w:kern w:val="0"/>
                <w:sz w:val="24"/>
                <w:szCs w:val="24"/>
                <w:lang w:bidi="ar"/>
              </w:rPr>
              <w:t>4714kgce/kg</w:t>
            </w:r>
          </w:p>
        </w:tc>
        <w:tc>
          <w:tcPr>
            <w:tcW w:w="731" w:type="pct"/>
            <w:shd w:val="clear" w:color="auto" w:fill="auto"/>
            <w:vAlign w:val="center"/>
          </w:tcPr>
          <w:p w14:paraId="415EC1A5">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《综合能耗计算通则》（</w:t>
            </w:r>
            <w:r>
              <w:rPr>
                <w:rFonts w:ascii="Times New Roman" w:hAnsi="Times New Roman" w:cs="Times New Roman"/>
                <w:kern w:val="0"/>
                <w:sz w:val="24"/>
                <w:szCs w:val="24"/>
                <w:lang w:bidi="ar"/>
              </w:rPr>
              <w:t>GB/T 2589-2020</w:t>
            </w:r>
            <w:r>
              <w:rPr>
                <w:rFonts w:hint="eastAsia" w:ascii="Times New Roman" w:hAnsi="Times New Roman" w:cs="Times New Roman"/>
                <w:kern w:val="0"/>
                <w:sz w:val="24"/>
                <w:szCs w:val="24"/>
                <w:lang w:bidi="ar"/>
              </w:rPr>
              <w:t>）、《中国能源统计年鉴》（2023）等。</w:t>
            </w:r>
          </w:p>
        </w:tc>
      </w:tr>
      <w:tr w14:paraId="5DBA2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6"/>
            <w:vAlign w:val="center"/>
          </w:tcPr>
          <w:p w14:paraId="1C81E2CC">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其中：按能源类型分类</w:t>
            </w:r>
          </w:p>
        </w:tc>
      </w:tr>
      <w:tr w14:paraId="4D01C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3" w:type="pct"/>
            <w:vAlign w:val="center"/>
          </w:tcPr>
          <w:p w14:paraId="432EA361">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原煤用量</w:t>
            </w:r>
          </w:p>
        </w:tc>
        <w:tc>
          <w:tcPr>
            <w:tcW w:w="444" w:type="pct"/>
            <w:vAlign w:val="center"/>
          </w:tcPr>
          <w:p w14:paraId="481CC3A0">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吨</w:t>
            </w:r>
          </w:p>
        </w:tc>
        <w:tc>
          <w:tcPr>
            <w:tcW w:w="1086" w:type="pct"/>
            <w:vAlign w:val="center"/>
          </w:tcPr>
          <w:p w14:paraId="20C31B3A">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报告期内企业直接控制或拥有设施的原煤总消耗量。原煤包括无烟煤、烟煤、泥煤、褐煤等。</w:t>
            </w:r>
          </w:p>
        </w:tc>
        <w:tc>
          <w:tcPr>
            <w:tcW w:w="1283" w:type="pct"/>
            <w:vAlign w:val="center"/>
          </w:tcPr>
          <w:p w14:paraId="158065B1">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报告期内的绝对数值</w:t>
            </w:r>
          </w:p>
        </w:tc>
        <w:tc>
          <w:tcPr>
            <w:tcW w:w="683" w:type="pct"/>
            <w:vAlign w:val="center"/>
          </w:tcPr>
          <w:p w14:paraId="2F291661">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w:t>
            </w:r>
          </w:p>
        </w:tc>
        <w:tc>
          <w:tcPr>
            <w:tcW w:w="731" w:type="pct"/>
            <w:vAlign w:val="center"/>
          </w:tcPr>
          <w:p w14:paraId="2F511E97">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w:t>
            </w:r>
          </w:p>
        </w:tc>
      </w:tr>
      <w:tr w14:paraId="6775E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3" w:type="pct"/>
            <w:vAlign w:val="center"/>
          </w:tcPr>
          <w:p w14:paraId="5A180FE6">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天然气用量</w:t>
            </w:r>
          </w:p>
        </w:tc>
        <w:tc>
          <w:tcPr>
            <w:tcW w:w="444" w:type="pct"/>
            <w:vAlign w:val="center"/>
          </w:tcPr>
          <w:p w14:paraId="7F2796B6">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立方米</w:t>
            </w:r>
          </w:p>
        </w:tc>
        <w:tc>
          <w:tcPr>
            <w:tcW w:w="1086" w:type="pct"/>
            <w:vAlign w:val="center"/>
          </w:tcPr>
          <w:p w14:paraId="71FFD371">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报告期内企业直接控制或拥有设施的天然气总消耗量。</w:t>
            </w:r>
          </w:p>
        </w:tc>
        <w:tc>
          <w:tcPr>
            <w:tcW w:w="1283" w:type="pct"/>
            <w:vAlign w:val="center"/>
          </w:tcPr>
          <w:p w14:paraId="4195A006">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报告期内的绝对数值</w:t>
            </w:r>
          </w:p>
        </w:tc>
        <w:tc>
          <w:tcPr>
            <w:tcW w:w="683" w:type="pct"/>
            <w:vAlign w:val="center"/>
          </w:tcPr>
          <w:p w14:paraId="44EADA9C">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w:t>
            </w:r>
          </w:p>
        </w:tc>
        <w:tc>
          <w:tcPr>
            <w:tcW w:w="731" w:type="pct"/>
            <w:vAlign w:val="center"/>
          </w:tcPr>
          <w:p w14:paraId="02E24139">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w:t>
            </w:r>
          </w:p>
        </w:tc>
      </w:tr>
      <w:tr w14:paraId="3397A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3" w:type="pct"/>
            <w:vAlign w:val="center"/>
          </w:tcPr>
          <w:p w14:paraId="0581AC51">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汽油用量</w:t>
            </w:r>
          </w:p>
        </w:tc>
        <w:tc>
          <w:tcPr>
            <w:tcW w:w="444" w:type="pct"/>
            <w:vAlign w:val="center"/>
          </w:tcPr>
          <w:p w14:paraId="7E92F992">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升</w:t>
            </w:r>
          </w:p>
        </w:tc>
        <w:tc>
          <w:tcPr>
            <w:tcW w:w="1086" w:type="pct"/>
            <w:vAlign w:val="center"/>
          </w:tcPr>
          <w:p w14:paraId="65B4C11A">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报告期内企业直接控制或拥有设施的汽油总消耗量。</w:t>
            </w:r>
          </w:p>
        </w:tc>
        <w:tc>
          <w:tcPr>
            <w:tcW w:w="1283" w:type="pct"/>
            <w:vAlign w:val="center"/>
          </w:tcPr>
          <w:p w14:paraId="2C926BC2">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报告期内的绝对数值</w:t>
            </w:r>
          </w:p>
        </w:tc>
        <w:tc>
          <w:tcPr>
            <w:tcW w:w="683" w:type="pct"/>
            <w:vAlign w:val="center"/>
          </w:tcPr>
          <w:p w14:paraId="75FB937D">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w:t>
            </w:r>
          </w:p>
        </w:tc>
        <w:tc>
          <w:tcPr>
            <w:tcW w:w="731" w:type="pct"/>
            <w:vAlign w:val="center"/>
          </w:tcPr>
          <w:p w14:paraId="38536A66">
            <w:pPr>
              <w:widowControl/>
              <w:adjustRightInd w:val="0"/>
              <w:snapToGrid w:val="0"/>
              <w:rPr>
                <w:rFonts w:ascii="Times New Roman" w:hAnsi="Times New Roman" w:cs="Times New Roman"/>
                <w:kern w:val="0"/>
                <w:sz w:val="24"/>
                <w:szCs w:val="24"/>
                <w:lang w:bidi="ar"/>
              </w:rPr>
            </w:pPr>
            <w:r>
              <w:rPr>
                <w:rFonts w:hint="eastAsia" w:ascii="Times New Roman" w:hAnsi="Times New Roman" w:cs="Times New Roman"/>
                <w:kern w:val="0"/>
                <w:sz w:val="24"/>
                <w:szCs w:val="24"/>
                <w:lang w:bidi="ar"/>
              </w:rPr>
              <w:t>——</w:t>
            </w:r>
          </w:p>
        </w:tc>
      </w:tr>
      <w:tr w14:paraId="6DE77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3" w:type="pct"/>
            <w:vAlign w:val="center"/>
          </w:tcPr>
          <w:p w14:paraId="5E730874">
            <w:pPr>
              <w:widowControl/>
              <w:adjustRightInd w:val="0"/>
              <w:snapToGrid w:val="0"/>
              <w:rPr>
                <w:rFonts w:ascii="Times New Roman" w:hAnsi="Times New Roman" w:cs="Times New Roman"/>
                <w:kern w:val="0"/>
                <w:sz w:val="24"/>
                <w:szCs w:val="24"/>
                <w:lang w:bidi="ar"/>
              </w:rPr>
            </w:pPr>
            <w:r>
              <w:rPr>
                <w:rFonts w:ascii="Times New Roman" w:hAnsi="Times New Roman" w:cs="Times New Roman"/>
                <w:kern w:val="0"/>
                <w:sz w:val="24"/>
                <w:szCs w:val="24"/>
                <w:lang w:bidi="ar"/>
              </w:rPr>
              <w:t>……</w:t>
            </w:r>
          </w:p>
        </w:tc>
        <w:tc>
          <w:tcPr>
            <w:tcW w:w="444" w:type="pct"/>
            <w:vAlign w:val="center"/>
          </w:tcPr>
          <w:p w14:paraId="0E8E210F">
            <w:pPr>
              <w:widowControl/>
              <w:adjustRightInd w:val="0"/>
              <w:snapToGrid w:val="0"/>
              <w:jc w:val="center"/>
              <w:rPr>
                <w:rFonts w:ascii="Times New Roman" w:hAnsi="Times New Roman" w:cs="Times New Roman"/>
                <w:kern w:val="0"/>
                <w:sz w:val="24"/>
                <w:szCs w:val="24"/>
                <w:lang w:bidi="ar"/>
              </w:rPr>
            </w:pPr>
          </w:p>
        </w:tc>
        <w:tc>
          <w:tcPr>
            <w:tcW w:w="1086" w:type="pct"/>
            <w:vAlign w:val="center"/>
          </w:tcPr>
          <w:p w14:paraId="3A46A30C">
            <w:pPr>
              <w:widowControl/>
              <w:adjustRightInd w:val="0"/>
              <w:snapToGrid w:val="0"/>
              <w:rPr>
                <w:rFonts w:ascii="Times New Roman" w:hAnsi="Times New Roman" w:cs="Times New Roman"/>
                <w:kern w:val="0"/>
                <w:sz w:val="24"/>
                <w:szCs w:val="24"/>
                <w:lang w:bidi="ar"/>
              </w:rPr>
            </w:pPr>
          </w:p>
        </w:tc>
        <w:tc>
          <w:tcPr>
            <w:tcW w:w="1283" w:type="pct"/>
          </w:tcPr>
          <w:p w14:paraId="2AE60C2E">
            <w:pPr>
              <w:widowControl/>
              <w:adjustRightInd w:val="0"/>
              <w:snapToGrid w:val="0"/>
              <w:rPr>
                <w:rFonts w:ascii="Times New Roman" w:hAnsi="Times New Roman" w:cs="Times New Roman"/>
                <w:kern w:val="0"/>
                <w:sz w:val="24"/>
                <w:szCs w:val="24"/>
                <w:lang w:bidi="ar"/>
              </w:rPr>
            </w:pPr>
          </w:p>
        </w:tc>
        <w:tc>
          <w:tcPr>
            <w:tcW w:w="683" w:type="pct"/>
          </w:tcPr>
          <w:p w14:paraId="19C64E70">
            <w:pPr>
              <w:widowControl/>
              <w:adjustRightInd w:val="0"/>
              <w:snapToGrid w:val="0"/>
              <w:rPr>
                <w:rFonts w:ascii="Times New Roman" w:hAnsi="Times New Roman" w:cs="Times New Roman"/>
                <w:kern w:val="0"/>
                <w:sz w:val="24"/>
                <w:szCs w:val="24"/>
                <w:lang w:bidi="ar"/>
              </w:rPr>
            </w:pPr>
          </w:p>
        </w:tc>
        <w:tc>
          <w:tcPr>
            <w:tcW w:w="731" w:type="pct"/>
          </w:tcPr>
          <w:p w14:paraId="19A0DC88">
            <w:pPr>
              <w:widowControl/>
              <w:adjustRightInd w:val="0"/>
              <w:snapToGrid w:val="0"/>
              <w:rPr>
                <w:rFonts w:ascii="Times New Roman" w:hAnsi="Times New Roman" w:cs="Times New Roman"/>
                <w:kern w:val="0"/>
                <w:sz w:val="24"/>
                <w:szCs w:val="24"/>
                <w:lang w:bidi="ar"/>
              </w:rPr>
            </w:pPr>
          </w:p>
        </w:tc>
      </w:tr>
      <w:bookmarkEnd w:id="389"/>
    </w:tbl>
    <w:p w14:paraId="3290F798">
      <w:pPr>
        <w:widowControl/>
        <w:adjustRightInd w:val="0"/>
        <w:snapToGrid w:val="0"/>
        <w:spacing w:line="560" w:lineRule="exact"/>
        <w:jc w:val="center"/>
        <w:rPr>
          <w:rFonts w:ascii="Times New Roman" w:hAnsi="Times New Roman" w:eastAsia="黑体" w:cs="Times New Roman"/>
          <w:sz w:val="24"/>
          <w:szCs w:val="24"/>
          <w:lang w:bidi="ar"/>
        </w:rPr>
      </w:pPr>
      <w:r>
        <w:rPr>
          <w:rFonts w:hint="eastAsia" w:ascii="Times New Roman" w:hAnsi="Times New Roman" w:eastAsia="黑体" w:cs="Times New Roman"/>
          <w:sz w:val="24"/>
          <w:szCs w:val="24"/>
          <w:lang w:bidi="ar"/>
        </w:rPr>
        <w:t>表29：可持续发展报告对标索引表示例</w:t>
      </w:r>
    </w:p>
    <w:tbl>
      <w:tblPr>
        <w:tblStyle w:val="2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5A53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500" w:type="pct"/>
            <w:vAlign w:val="center"/>
          </w:tcPr>
          <w:p w14:paraId="293AF8EA">
            <w:pPr>
              <w:widowControl/>
              <w:adjustRightInd w:val="0"/>
              <w:snapToGrid w:val="0"/>
              <w:jc w:val="center"/>
              <w:rPr>
                <w:rFonts w:ascii="Times New Roman" w:hAnsi="Times New Roman" w:eastAsia="黑体" w:cs="Times New Roman"/>
                <w:b/>
                <w:bCs/>
                <w:kern w:val="0"/>
                <w:sz w:val="24"/>
                <w:szCs w:val="24"/>
                <w:lang w:bidi="ar"/>
              </w:rPr>
            </w:pPr>
            <w:r>
              <w:rPr>
                <w:rFonts w:hint="eastAsia" w:ascii="Times New Roman" w:hAnsi="Times New Roman" w:cs="Times New Roman"/>
                <w:b/>
                <w:bCs/>
                <w:kern w:val="0"/>
                <w:sz w:val="24"/>
                <w:szCs w:val="24"/>
              </w:rPr>
              <w:t>披露要求</w:t>
            </w:r>
          </w:p>
        </w:tc>
        <w:tc>
          <w:tcPr>
            <w:tcW w:w="2500" w:type="pct"/>
            <w:vAlign w:val="center"/>
          </w:tcPr>
          <w:p w14:paraId="19709D96">
            <w:pPr>
              <w:widowControl/>
              <w:adjustRightInd w:val="0"/>
              <w:snapToGrid w:val="0"/>
              <w:jc w:val="center"/>
              <w:rPr>
                <w:rFonts w:ascii="Times New Roman" w:hAnsi="Times New Roman" w:cs="Times New Roman"/>
                <w:b/>
                <w:bCs/>
                <w:kern w:val="0"/>
                <w:sz w:val="24"/>
                <w:szCs w:val="24"/>
              </w:rPr>
            </w:pPr>
            <w:r>
              <w:rPr>
                <w:rFonts w:hint="eastAsia" w:ascii="Times New Roman" w:hAnsi="Times New Roman" w:cs="Times New Roman"/>
                <w:b/>
                <w:bCs/>
                <w:kern w:val="0"/>
                <w:sz w:val="24"/>
                <w:szCs w:val="24"/>
              </w:rPr>
              <w:t>对应的本报告章节</w:t>
            </w:r>
          </w:p>
          <w:p w14:paraId="1C397C82">
            <w:pPr>
              <w:widowControl/>
              <w:adjustRightInd w:val="0"/>
              <w:snapToGrid w:val="0"/>
              <w:jc w:val="center"/>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lang w:bidi="ar"/>
              </w:rPr>
              <w:t>（相关议题未披露的，根据《指引》第七条要求进行充分说明）</w:t>
            </w:r>
          </w:p>
        </w:tc>
      </w:tr>
      <w:tr w14:paraId="35D96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2500" w:type="pct"/>
            <w:vAlign w:val="center"/>
          </w:tcPr>
          <w:p w14:paraId="7EB54959">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应对气候变化</w:t>
            </w:r>
          </w:p>
        </w:tc>
        <w:tc>
          <w:tcPr>
            <w:tcW w:w="2500" w:type="pct"/>
          </w:tcPr>
          <w:p w14:paraId="23013FD8">
            <w:pPr>
              <w:widowControl/>
              <w:adjustRightInd w:val="0"/>
              <w:snapToGrid w:val="0"/>
              <w:rPr>
                <w:rFonts w:ascii="Times New Roman" w:hAnsi="Times New Roman" w:eastAsia="黑体" w:cs="Times New Roman"/>
                <w:kern w:val="0"/>
                <w:sz w:val="24"/>
                <w:szCs w:val="24"/>
                <w:lang w:bidi="ar"/>
              </w:rPr>
            </w:pPr>
          </w:p>
        </w:tc>
      </w:tr>
      <w:tr w14:paraId="1711C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3BBE7B97">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污染物排放</w:t>
            </w:r>
          </w:p>
        </w:tc>
        <w:tc>
          <w:tcPr>
            <w:tcW w:w="2500" w:type="pct"/>
          </w:tcPr>
          <w:p w14:paraId="406DF19F">
            <w:pPr>
              <w:widowControl/>
              <w:adjustRightInd w:val="0"/>
              <w:snapToGrid w:val="0"/>
              <w:rPr>
                <w:rFonts w:ascii="Times New Roman" w:hAnsi="Times New Roman" w:eastAsia="黑体" w:cs="Times New Roman"/>
                <w:kern w:val="0"/>
                <w:sz w:val="24"/>
                <w:szCs w:val="24"/>
                <w:lang w:bidi="ar"/>
              </w:rPr>
            </w:pPr>
          </w:p>
        </w:tc>
      </w:tr>
      <w:tr w14:paraId="6669B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41585E3B">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废弃物处理</w:t>
            </w:r>
          </w:p>
        </w:tc>
        <w:tc>
          <w:tcPr>
            <w:tcW w:w="2500" w:type="pct"/>
          </w:tcPr>
          <w:p w14:paraId="659D1A66">
            <w:pPr>
              <w:widowControl/>
              <w:adjustRightInd w:val="0"/>
              <w:snapToGrid w:val="0"/>
              <w:rPr>
                <w:rFonts w:ascii="Times New Roman" w:hAnsi="Times New Roman" w:eastAsia="黑体" w:cs="Times New Roman"/>
                <w:kern w:val="0"/>
                <w:sz w:val="24"/>
                <w:szCs w:val="24"/>
                <w:lang w:bidi="ar"/>
              </w:rPr>
            </w:pPr>
          </w:p>
        </w:tc>
      </w:tr>
      <w:tr w14:paraId="24478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0A8D6584">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生态系统和生物多样性保护</w:t>
            </w:r>
          </w:p>
        </w:tc>
        <w:tc>
          <w:tcPr>
            <w:tcW w:w="2500" w:type="pct"/>
          </w:tcPr>
          <w:p w14:paraId="1479D26F">
            <w:pPr>
              <w:widowControl/>
              <w:adjustRightInd w:val="0"/>
              <w:snapToGrid w:val="0"/>
              <w:rPr>
                <w:rFonts w:ascii="Times New Roman" w:hAnsi="Times New Roman" w:eastAsia="黑体" w:cs="Times New Roman"/>
                <w:kern w:val="0"/>
                <w:sz w:val="24"/>
                <w:szCs w:val="24"/>
                <w:lang w:bidi="ar"/>
              </w:rPr>
            </w:pPr>
          </w:p>
        </w:tc>
      </w:tr>
      <w:tr w14:paraId="27689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2500" w:type="pct"/>
            <w:vAlign w:val="center"/>
          </w:tcPr>
          <w:p w14:paraId="6FA939AA">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环境合规管理</w:t>
            </w:r>
          </w:p>
        </w:tc>
        <w:tc>
          <w:tcPr>
            <w:tcW w:w="2500" w:type="pct"/>
          </w:tcPr>
          <w:p w14:paraId="5BF05F67">
            <w:pPr>
              <w:widowControl/>
              <w:adjustRightInd w:val="0"/>
              <w:snapToGrid w:val="0"/>
              <w:rPr>
                <w:rFonts w:ascii="Times New Roman" w:hAnsi="Times New Roman" w:eastAsia="黑体" w:cs="Times New Roman"/>
                <w:kern w:val="0"/>
                <w:sz w:val="24"/>
                <w:szCs w:val="24"/>
                <w:lang w:bidi="ar"/>
              </w:rPr>
            </w:pPr>
          </w:p>
        </w:tc>
      </w:tr>
      <w:tr w14:paraId="6D75C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49FC0DAF">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能源利用</w:t>
            </w:r>
          </w:p>
        </w:tc>
        <w:tc>
          <w:tcPr>
            <w:tcW w:w="2500" w:type="pct"/>
          </w:tcPr>
          <w:p w14:paraId="32A61EAD">
            <w:pPr>
              <w:widowControl/>
              <w:adjustRightInd w:val="0"/>
              <w:snapToGrid w:val="0"/>
              <w:rPr>
                <w:rFonts w:ascii="Times New Roman" w:hAnsi="Times New Roman" w:eastAsia="黑体" w:cs="Times New Roman"/>
                <w:kern w:val="0"/>
                <w:sz w:val="24"/>
                <w:szCs w:val="24"/>
                <w:lang w:bidi="ar"/>
              </w:rPr>
            </w:pPr>
          </w:p>
        </w:tc>
      </w:tr>
      <w:tr w14:paraId="4C90E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5B5C06E2">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水资源利用</w:t>
            </w:r>
          </w:p>
        </w:tc>
        <w:tc>
          <w:tcPr>
            <w:tcW w:w="2500" w:type="pct"/>
          </w:tcPr>
          <w:p w14:paraId="0BD1E5A7">
            <w:pPr>
              <w:widowControl/>
              <w:adjustRightInd w:val="0"/>
              <w:snapToGrid w:val="0"/>
              <w:rPr>
                <w:rFonts w:ascii="Times New Roman" w:hAnsi="Times New Roman" w:eastAsia="黑体" w:cs="Times New Roman"/>
                <w:kern w:val="0"/>
                <w:sz w:val="24"/>
                <w:szCs w:val="24"/>
                <w:lang w:bidi="ar"/>
              </w:rPr>
            </w:pPr>
          </w:p>
        </w:tc>
      </w:tr>
      <w:tr w14:paraId="1B1AE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3830BC28">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循环经济</w:t>
            </w:r>
          </w:p>
        </w:tc>
        <w:tc>
          <w:tcPr>
            <w:tcW w:w="2500" w:type="pct"/>
          </w:tcPr>
          <w:p w14:paraId="2A95229D">
            <w:pPr>
              <w:widowControl/>
              <w:adjustRightInd w:val="0"/>
              <w:snapToGrid w:val="0"/>
              <w:rPr>
                <w:rFonts w:ascii="Times New Roman" w:hAnsi="Times New Roman" w:eastAsia="黑体" w:cs="Times New Roman"/>
                <w:kern w:val="0"/>
                <w:sz w:val="24"/>
                <w:szCs w:val="24"/>
                <w:lang w:bidi="ar"/>
              </w:rPr>
            </w:pPr>
          </w:p>
        </w:tc>
      </w:tr>
      <w:tr w14:paraId="643EC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2500" w:type="pct"/>
            <w:vAlign w:val="center"/>
          </w:tcPr>
          <w:p w14:paraId="7601C341">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乡村振兴</w:t>
            </w:r>
          </w:p>
        </w:tc>
        <w:tc>
          <w:tcPr>
            <w:tcW w:w="2500" w:type="pct"/>
          </w:tcPr>
          <w:p w14:paraId="4BDB2E88">
            <w:pPr>
              <w:widowControl/>
              <w:adjustRightInd w:val="0"/>
              <w:snapToGrid w:val="0"/>
              <w:rPr>
                <w:rFonts w:ascii="Times New Roman" w:hAnsi="Times New Roman" w:eastAsia="黑体" w:cs="Times New Roman"/>
                <w:kern w:val="0"/>
                <w:sz w:val="24"/>
                <w:szCs w:val="24"/>
                <w:lang w:bidi="ar"/>
              </w:rPr>
            </w:pPr>
          </w:p>
        </w:tc>
      </w:tr>
      <w:tr w14:paraId="7CF19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50B3A622">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社会贡献</w:t>
            </w:r>
          </w:p>
        </w:tc>
        <w:tc>
          <w:tcPr>
            <w:tcW w:w="2500" w:type="pct"/>
          </w:tcPr>
          <w:p w14:paraId="6F7D40DA">
            <w:pPr>
              <w:widowControl/>
              <w:adjustRightInd w:val="0"/>
              <w:snapToGrid w:val="0"/>
              <w:rPr>
                <w:rFonts w:ascii="Times New Roman" w:hAnsi="Times New Roman" w:eastAsia="黑体" w:cs="Times New Roman"/>
                <w:kern w:val="0"/>
                <w:sz w:val="24"/>
                <w:szCs w:val="24"/>
                <w:lang w:bidi="ar"/>
              </w:rPr>
            </w:pPr>
          </w:p>
        </w:tc>
      </w:tr>
      <w:tr w14:paraId="26FF1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50A7D7A2">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创新驱动</w:t>
            </w:r>
          </w:p>
        </w:tc>
        <w:tc>
          <w:tcPr>
            <w:tcW w:w="2500" w:type="pct"/>
          </w:tcPr>
          <w:p w14:paraId="23EB0BB4">
            <w:pPr>
              <w:widowControl/>
              <w:adjustRightInd w:val="0"/>
              <w:snapToGrid w:val="0"/>
              <w:rPr>
                <w:rFonts w:ascii="Times New Roman" w:hAnsi="Times New Roman" w:eastAsia="黑体" w:cs="Times New Roman"/>
                <w:kern w:val="0"/>
                <w:sz w:val="24"/>
                <w:szCs w:val="24"/>
                <w:lang w:bidi="ar"/>
              </w:rPr>
            </w:pPr>
          </w:p>
        </w:tc>
      </w:tr>
      <w:tr w14:paraId="6BB9C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126F8624">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科技伦理</w:t>
            </w:r>
          </w:p>
        </w:tc>
        <w:tc>
          <w:tcPr>
            <w:tcW w:w="2500" w:type="pct"/>
          </w:tcPr>
          <w:p w14:paraId="26D5DEAA">
            <w:pPr>
              <w:widowControl/>
              <w:adjustRightInd w:val="0"/>
              <w:snapToGrid w:val="0"/>
              <w:rPr>
                <w:rFonts w:ascii="Times New Roman" w:hAnsi="Times New Roman" w:eastAsia="黑体" w:cs="Times New Roman"/>
                <w:kern w:val="0"/>
                <w:sz w:val="24"/>
                <w:szCs w:val="24"/>
                <w:lang w:bidi="ar"/>
              </w:rPr>
            </w:pPr>
          </w:p>
        </w:tc>
      </w:tr>
      <w:tr w14:paraId="7B7CB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2500" w:type="pct"/>
            <w:vAlign w:val="center"/>
          </w:tcPr>
          <w:p w14:paraId="780DFE54">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供应链安全</w:t>
            </w:r>
          </w:p>
        </w:tc>
        <w:tc>
          <w:tcPr>
            <w:tcW w:w="2500" w:type="pct"/>
          </w:tcPr>
          <w:p w14:paraId="60288E53">
            <w:pPr>
              <w:widowControl/>
              <w:adjustRightInd w:val="0"/>
              <w:snapToGrid w:val="0"/>
              <w:rPr>
                <w:rFonts w:ascii="Times New Roman" w:hAnsi="Times New Roman" w:eastAsia="黑体" w:cs="Times New Roman"/>
                <w:kern w:val="0"/>
                <w:sz w:val="24"/>
                <w:szCs w:val="24"/>
                <w:lang w:bidi="ar"/>
              </w:rPr>
            </w:pPr>
          </w:p>
        </w:tc>
      </w:tr>
      <w:tr w14:paraId="5F04F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29AF8020">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平等对待中小企业</w:t>
            </w:r>
          </w:p>
        </w:tc>
        <w:tc>
          <w:tcPr>
            <w:tcW w:w="2500" w:type="pct"/>
          </w:tcPr>
          <w:p w14:paraId="74D8E3E1">
            <w:pPr>
              <w:widowControl/>
              <w:adjustRightInd w:val="0"/>
              <w:snapToGrid w:val="0"/>
              <w:rPr>
                <w:rFonts w:ascii="Times New Roman" w:hAnsi="Times New Roman" w:eastAsia="黑体" w:cs="Times New Roman"/>
                <w:kern w:val="0"/>
                <w:sz w:val="24"/>
                <w:szCs w:val="24"/>
                <w:lang w:bidi="ar"/>
              </w:rPr>
            </w:pPr>
          </w:p>
        </w:tc>
      </w:tr>
      <w:tr w14:paraId="52611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33DCC623">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产品和服务安全与质量</w:t>
            </w:r>
          </w:p>
        </w:tc>
        <w:tc>
          <w:tcPr>
            <w:tcW w:w="2500" w:type="pct"/>
          </w:tcPr>
          <w:p w14:paraId="361B8AC4">
            <w:pPr>
              <w:widowControl/>
              <w:adjustRightInd w:val="0"/>
              <w:snapToGrid w:val="0"/>
              <w:rPr>
                <w:rFonts w:ascii="Times New Roman" w:hAnsi="Times New Roman" w:eastAsia="黑体" w:cs="Times New Roman"/>
                <w:kern w:val="0"/>
                <w:sz w:val="24"/>
                <w:szCs w:val="24"/>
                <w:lang w:bidi="ar"/>
              </w:rPr>
            </w:pPr>
          </w:p>
        </w:tc>
      </w:tr>
      <w:tr w14:paraId="49FF7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21294FAF">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数据安全与客户隐私保护</w:t>
            </w:r>
          </w:p>
        </w:tc>
        <w:tc>
          <w:tcPr>
            <w:tcW w:w="2500" w:type="pct"/>
          </w:tcPr>
          <w:p w14:paraId="358C29D1">
            <w:pPr>
              <w:widowControl/>
              <w:adjustRightInd w:val="0"/>
              <w:snapToGrid w:val="0"/>
              <w:rPr>
                <w:rFonts w:ascii="Times New Roman" w:hAnsi="Times New Roman" w:eastAsia="黑体" w:cs="Times New Roman"/>
                <w:kern w:val="0"/>
                <w:sz w:val="24"/>
                <w:szCs w:val="24"/>
                <w:lang w:bidi="ar"/>
              </w:rPr>
            </w:pPr>
          </w:p>
        </w:tc>
      </w:tr>
      <w:tr w14:paraId="43E67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2500" w:type="pct"/>
            <w:vAlign w:val="center"/>
          </w:tcPr>
          <w:p w14:paraId="4D842268">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员工</w:t>
            </w:r>
          </w:p>
        </w:tc>
        <w:tc>
          <w:tcPr>
            <w:tcW w:w="2500" w:type="pct"/>
          </w:tcPr>
          <w:p w14:paraId="108D56ED">
            <w:pPr>
              <w:widowControl/>
              <w:adjustRightInd w:val="0"/>
              <w:snapToGrid w:val="0"/>
              <w:rPr>
                <w:rFonts w:ascii="Times New Roman" w:hAnsi="Times New Roman" w:eastAsia="黑体" w:cs="Times New Roman"/>
                <w:kern w:val="0"/>
                <w:sz w:val="24"/>
                <w:szCs w:val="24"/>
                <w:lang w:bidi="ar"/>
              </w:rPr>
            </w:pPr>
          </w:p>
        </w:tc>
      </w:tr>
      <w:tr w14:paraId="6159B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6854E78B">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尽职调查</w:t>
            </w:r>
          </w:p>
        </w:tc>
        <w:tc>
          <w:tcPr>
            <w:tcW w:w="2500" w:type="pct"/>
          </w:tcPr>
          <w:p w14:paraId="031DFFBD">
            <w:pPr>
              <w:widowControl/>
              <w:adjustRightInd w:val="0"/>
              <w:snapToGrid w:val="0"/>
              <w:rPr>
                <w:rFonts w:ascii="Times New Roman" w:hAnsi="Times New Roman" w:eastAsia="黑体" w:cs="Times New Roman"/>
                <w:kern w:val="0"/>
                <w:sz w:val="24"/>
                <w:szCs w:val="24"/>
                <w:lang w:bidi="ar"/>
              </w:rPr>
            </w:pPr>
          </w:p>
        </w:tc>
      </w:tr>
      <w:tr w14:paraId="4ABBA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4E7FF3D0">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利益相关方沟通</w:t>
            </w:r>
          </w:p>
        </w:tc>
        <w:tc>
          <w:tcPr>
            <w:tcW w:w="2500" w:type="pct"/>
          </w:tcPr>
          <w:p w14:paraId="5FE22492">
            <w:pPr>
              <w:widowControl/>
              <w:adjustRightInd w:val="0"/>
              <w:snapToGrid w:val="0"/>
              <w:rPr>
                <w:rFonts w:ascii="Times New Roman" w:hAnsi="Times New Roman" w:eastAsia="黑体" w:cs="Times New Roman"/>
                <w:kern w:val="0"/>
                <w:sz w:val="24"/>
                <w:szCs w:val="24"/>
                <w:lang w:bidi="ar"/>
              </w:rPr>
            </w:pPr>
          </w:p>
        </w:tc>
      </w:tr>
      <w:tr w14:paraId="0F9E2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4E24F551">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反商业贿赂及反贪污</w:t>
            </w:r>
          </w:p>
        </w:tc>
        <w:tc>
          <w:tcPr>
            <w:tcW w:w="2500" w:type="pct"/>
          </w:tcPr>
          <w:p w14:paraId="3C49577B">
            <w:pPr>
              <w:widowControl/>
              <w:adjustRightInd w:val="0"/>
              <w:snapToGrid w:val="0"/>
              <w:rPr>
                <w:rFonts w:ascii="Times New Roman" w:hAnsi="Times New Roman" w:eastAsia="黑体" w:cs="Times New Roman"/>
                <w:kern w:val="0"/>
                <w:sz w:val="24"/>
                <w:szCs w:val="24"/>
                <w:lang w:bidi="ar"/>
              </w:rPr>
            </w:pPr>
          </w:p>
        </w:tc>
      </w:tr>
      <w:tr w14:paraId="72A06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2500" w:type="pct"/>
            <w:vAlign w:val="center"/>
          </w:tcPr>
          <w:p w14:paraId="4A1735BE">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反不正当竞争</w:t>
            </w:r>
          </w:p>
        </w:tc>
        <w:tc>
          <w:tcPr>
            <w:tcW w:w="2500" w:type="pct"/>
          </w:tcPr>
          <w:p w14:paraId="6A44CBA2">
            <w:pPr>
              <w:widowControl/>
              <w:adjustRightInd w:val="0"/>
              <w:snapToGrid w:val="0"/>
              <w:rPr>
                <w:rFonts w:ascii="Times New Roman" w:hAnsi="Times New Roman" w:eastAsia="黑体" w:cs="Times New Roman"/>
                <w:kern w:val="0"/>
                <w:sz w:val="24"/>
                <w:szCs w:val="24"/>
                <w:lang w:bidi="ar"/>
              </w:rPr>
            </w:pPr>
          </w:p>
        </w:tc>
      </w:tr>
      <w:tr w14:paraId="08D59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500" w:type="pct"/>
            <w:vAlign w:val="center"/>
          </w:tcPr>
          <w:p w14:paraId="6B50BA18">
            <w:pPr>
              <w:widowControl/>
              <w:adjustRightInd w:val="0"/>
              <w:snapToGrid w:val="0"/>
              <w:rPr>
                <w:rFonts w:ascii="Times New Roman" w:hAnsi="Times New Roman" w:eastAsia="黑体" w:cs="Times New Roman"/>
                <w:kern w:val="0"/>
                <w:sz w:val="24"/>
                <w:szCs w:val="24"/>
                <w:lang w:bidi="ar"/>
              </w:rPr>
            </w:pPr>
            <w:r>
              <w:rPr>
                <w:rFonts w:hint="eastAsia" w:ascii="Times New Roman" w:hAnsi="Times New Roman" w:cs="Times New Roman"/>
                <w:kern w:val="0"/>
                <w:sz w:val="24"/>
                <w:szCs w:val="24"/>
              </w:rPr>
              <w:t>自主披露的议题</w:t>
            </w:r>
          </w:p>
        </w:tc>
        <w:tc>
          <w:tcPr>
            <w:tcW w:w="2500" w:type="pct"/>
          </w:tcPr>
          <w:p w14:paraId="43FB73F6">
            <w:pPr>
              <w:widowControl/>
              <w:adjustRightInd w:val="0"/>
              <w:snapToGrid w:val="0"/>
              <w:rPr>
                <w:rFonts w:ascii="Times New Roman" w:hAnsi="Times New Roman" w:eastAsia="黑体" w:cs="Times New Roman"/>
                <w:kern w:val="0"/>
                <w:sz w:val="24"/>
                <w:szCs w:val="24"/>
                <w:lang w:bidi="ar"/>
              </w:rPr>
            </w:pPr>
          </w:p>
        </w:tc>
      </w:tr>
    </w:tbl>
    <w:p w14:paraId="2A605851">
      <w:pPr>
        <w:widowControl/>
        <w:tabs>
          <w:tab w:val="left" w:pos="1455"/>
        </w:tabs>
        <w:jc w:val="left"/>
      </w:pPr>
      <w:r>
        <w:rPr>
          <w:rFonts w:ascii="Times New Roman" w:hAnsi="方正大标宋简体" w:eastAsia="方正大标宋简体" w:cs="Times New Roman"/>
          <w:bCs/>
          <w:color w:val="000000"/>
          <w:kern w:val="0"/>
          <w:sz w:val="44"/>
          <w:szCs w:val="44"/>
        </w:rPr>
        <w:tab/>
      </w:r>
    </w:p>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仿宋_GB2312">
    <w:panose1 w:val="02010609030101010101"/>
    <w:charset w:val="86"/>
    <w:family w:val="modern"/>
    <w:pitch w:val="default"/>
    <w:sig w:usb0="00000001" w:usb1="080E0000" w:usb2="00000000" w:usb3="00000000" w:csb0="00040000" w:csb1="00000000"/>
  </w:font>
  <w:font w:name="方正大标宋简体">
    <w:panose1 w:val="02000000000000000000"/>
    <w:charset w:val="86"/>
    <w:family w:val="script"/>
    <w:pitch w:val="default"/>
    <w:sig w:usb0="A00002BF" w:usb1="184F6CFA" w:usb2="00000012" w:usb3="00000000" w:csb0="00040001" w:csb1="00000000"/>
  </w:font>
  <w:font w:name="等线">
    <w:altName w:val="宋体"/>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阿里巴巴普惠体 R"/>
    <w:panose1 w:val="00000000000000000000"/>
    <w:charset w:val="00"/>
    <w:family w:val="auto"/>
    <w:pitch w:val="default"/>
    <w:sig w:usb0="00000000" w:usb1="00000000" w:usb2="00000000" w:usb3="00000000" w:csb0="00000000" w:csb1="00000000"/>
  </w:font>
  <w:font w:name="微软雅黑">
    <w:altName w:val="黑体"/>
    <w:panose1 w:val="020B0503020204020204"/>
    <w:charset w:val="86"/>
    <w:family w:val="swiss"/>
    <w:pitch w:val="default"/>
    <w:sig w:usb0="00000000" w:usb1="00000000" w:usb2="00000016" w:usb3="00000000" w:csb0="0004001F" w:csb1="00000000"/>
  </w:font>
  <w:font w:name="Cambria">
    <w:altName w:val="Noto Sans Syriac Eastern"/>
    <w:panose1 w:val="02040503050406030204"/>
    <w:charset w:val="00"/>
    <w:family w:val="roman"/>
    <w:pitch w:val="default"/>
    <w:sig w:usb0="00000000" w:usb1="00000000" w:usb2="00000000" w:usb3="00000000" w:csb0="0000019F" w:csb1="00000000"/>
  </w:font>
  <w:font w:name="Noto Sans Syriac Eastern">
    <w:panose1 w:val="02040503050306020203"/>
    <w:charset w:val="86"/>
    <w:family w:val="auto"/>
    <w:pitch w:val="default"/>
    <w:sig w:usb0="00000000" w:usb1="00000000" w:usb2="00000080" w:usb3="00000000" w:csb0="203E0161" w:csb1="D7FF0000"/>
  </w:font>
  <w:font w:name="Source Han Serif CN">
    <w:altName w:val="宋体"/>
    <w:panose1 w:val="00000000000000000000"/>
    <w:charset w:val="86"/>
    <w:family w:val="roman"/>
    <w:pitch w:val="default"/>
    <w:sig w:usb0="00000000" w:usb1="00000000" w:usb2="0000001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Arial Unicode MS">
    <w:altName w:val="Times New Roman"/>
    <w:panose1 w:val="020B0604020202020204"/>
    <w:charset w:val="86"/>
    <w:family w:val="swiss"/>
    <w:pitch w:val="default"/>
    <w:sig w:usb0="00000000" w:usb1="00000000" w:usb2="0000003F" w:usb3="00000000" w:csb0="003F01FF" w:csb1="00000000"/>
  </w:font>
  <w:font w:name="Cambria Math">
    <w:altName w:val="DejaVu Math TeX Gyre"/>
    <w:panose1 w:val="02040503050406030204"/>
    <w:charset w:val="00"/>
    <w:family w:val="roman"/>
    <w:pitch w:val="default"/>
    <w:sig w:usb0="00000000" w:usb1="00000000" w:usb2="00000000" w:usb3="00000000" w:csb0="0000019F" w:csb1="00000000"/>
  </w:font>
  <w:font w:name="DejaVu Math TeX Gyre">
    <w:panose1 w:val="02000503000000000000"/>
    <w:charset w:val="00"/>
    <w:family w:val="auto"/>
    <w:pitch w:val="default"/>
    <w:sig w:usb0="A10000EF" w:usb1="4201F9EE" w:usb2="02000000" w:usb3="00000000" w:csb0="60000193" w:csb1="0DD40000"/>
  </w:font>
  <w:font w:name="阿里巴巴普惠体 R">
    <w:panose1 w:val="00020600040101010101"/>
    <w:charset w:val="86"/>
    <w:family w:val="auto"/>
    <w:pitch w:val="default"/>
    <w:sig w:usb0="A00002FF" w:usb1="7ACF7CFB" w:usb2="0000001E" w:usb3="00000000" w:csb0="0004009F" w:csb1="0000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37142">
    <w:pPr>
      <w:pStyle w:val="15"/>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31"/>
      </w:rPr>
      <w:id w:val="778147009"/>
    </w:sdtPr>
    <w:sdtEndPr>
      <w:rPr>
        <w:rStyle w:val="31"/>
      </w:rPr>
    </w:sdtEndPr>
    <w:sdtContent>
      <w:p w14:paraId="197BB4EA">
        <w:pPr>
          <w:pStyle w:val="15"/>
          <w:framePr w:wrap="auto" w:vAnchor="text" w:hAnchor="margin" w:xAlign="center" w:y="1"/>
          <w:rPr>
            <w:rStyle w:val="31"/>
          </w:rPr>
        </w:pPr>
        <w:r>
          <w:rPr>
            <w:rStyle w:val="31"/>
          </w:rPr>
          <w:fldChar w:fldCharType="begin"/>
        </w:r>
        <w:r>
          <w:rPr>
            <w:rStyle w:val="31"/>
          </w:rPr>
          <w:instrText xml:space="preserve"> PAGE </w:instrText>
        </w:r>
        <w:r>
          <w:rPr>
            <w:rStyle w:val="31"/>
          </w:rPr>
          <w:fldChar w:fldCharType="separate"/>
        </w:r>
        <w:r>
          <w:rPr>
            <w:rStyle w:val="31"/>
          </w:rPr>
          <w:t>1</w:t>
        </w:r>
        <w:r>
          <w:rPr>
            <w:rStyle w:val="31"/>
          </w:rPr>
          <w:fldChar w:fldCharType="end"/>
        </w:r>
      </w:p>
    </w:sdtContent>
  </w:sdt>
  <w:p w14:paraId="6109A0FB">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8E6AE">
    <w:pPr>
      <w:pStyle w:val="1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5FD0EE">
                          <w:pPr>
                            <w:pStyle w:val="15"/>
                          </w:pPr>
                          <w:r>
                            <w:fldChar w:fldCharType="begin"/>
                          </w:r>
                          <w:r>
                            <w:instrText xml:space="preserve"> PAGE  \* MERGEFORMAT </w:instrText>
                          </w:r>
                          <w:r>
                            <w:fldChar w:fldCharType="separate"/>
                          </w:r>
                          <w:r>
                            <w:t>39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63mM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Jut5jKwIAAFcEAAAOAAAAAAAAAAEAIAAAAB8BAABkcnMvZTJvRG9jLnhtbFBLBQYAAAAABgAG&#10;AFkBAAC8BQAAAAA=&#10;">
              <v:fill on="f" focussize="0,0"/>
              <v:stroke on="f" weight="0.5pt"/>
              <v:imagedata o:title=""/>
              <o:lock v:ext="edit" aspectratio="f"/>
              <v:textbox inset="0mm,0mm,0mm,0mm" style="mso-fit-shape-to-text:t;">
                <w:txbxContent>
                  <w:p w14:paraId="3C5FD0EE">
                    <w:pPr>
                      <w:pStyle w:val="15"/>
                    </w:pPr>
                    <w:r>
                      <w:fldChar w:fldCharType="begin"/>
                    </w:r>
                    <w:r>
                      <w:instrText xml:space="preserve"> PAGE  \* MERGEFORMAT </w:instrText>
                    </w:r>
                    <w:r>
                      <w:fldChar w:fldCharType="separate"/>
                    </w:r>
                    <w:r>
                      <w:t>39</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C767C9"/>
    <w:multiLevelType w:val="multilevel"/>
    <w:tmpl w:val="29C767C9"/>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1">
    <w:nsid w:val="59BA6BA9"/>
    <w:multiLevelType w:val="multilevel"/>
    <w:tmpl w:val="59BA6BA9"/>
    <w:lvl w:ilvl="0" w:tentative="0">
      <w:start w:val="1"/>
      <w:numFmt w:val="bullet"/>
      <w:pStyle w:val="51"/>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2">
    <w:nsid w:val="680D0F02"/>
    <w:multiLevelType w:val="multilevel"/>
    <w:tmpl w:val="680D0F02"/>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3">
    <w:nsid w:val="695F392A"/>
    <w:multiLevelType w:val="multilevel"/>
    <w:tmpl w:val="695F392A"/>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4">
    <w:nsid w:val="744957C4"/>
    <w:multiLevelType w:val="multilevel"/>
    <w:tmpl w:val="744957C4"/>
    <w:lvl w:ilvl="0" w:tentative="0">
      <w:start w:val="1"/>
      <w:numFmt w:val="bullet"/>
      <w:lvlText w:val=""/>
      <w:lvlJc w:val="left"/>
      <w:pPr>
        <w:ind w:left="440" w:hanging="440"/>
      </w:pPr>
      <w:rPr>
        <w:rFonts w:hint="default" w:ascii="Wingdings" w:hAnsi="Wingdings"/>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DF8"/>
    <w:rsid w:val="00402B1C"/>
    <w:rsid w:val="005B2DF8"/>
    <w:rsid w:val="009E0EA6"/>
    <w:rsid w:val="00AC285E"/>
    <w:rsid w:val="00B968C6"/>
    <w:rsid w:val="5B3EE718"/>
    <w:rsid w:val="9AFCFE5D"/>
    <w:rsid w:val="BF7F3C50"/>
    <w:rsid w:val="D6BE9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0"/>
      <w:szCs w:val="22"/>
      <w:lang w:val="en-US" w:eastAsia="zh-CN" w:bidi="ar-SA"/>
    </w:rPr>
  </w:style>
  <w:style w:type="paragraph" w:styleId="2">
    <w:name w:val="heading 1"/>
    <w:basedOn w:val="1"/>
    <w:next w:val="1"/>
    <w:link w:val="35"/>
    <w:autoRedefine/>
    <w:qFormat/>
    <w:uiPriority w:val="0"/>
    <w:pPr>
      <w:keepNext/>
      <w:keepLines/>
      <w:spacing w:before="340" w:after="330" w:line="578" w:lineRule="auto"/>
      <w:outlineLvl w:val="0"/>
    </w:pPr>
    <w:rPr>
      <w:rFonts w:ascii="Times New Roman" w:hAnsi="Times New Roman" w:eastAsia="宋体" w:cs="Times New Roman"/>
      <w:b/>
      <w:bCs/>
      <w:kern w:val="44"/>
      <w:sz w:val="44"/>
      <w:szCs w:val="44"/>
      <w:lang w:val="zh-CN"/>
    </w:rPr>
  </w:style>
  <w:style w:type="paragraph" w:styleId="3">
    <w:name w:val="heading 2"/>
    <w:basedOn w:val="1"/>
    <w:next w:val="1"/>
    <w:link w:val="36"/>
    <w:unhideWhenUsed/>
    <w:qFormat/>
    <w:uiPriority w:val="9"/>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link w:val="37"/>
    <w:autoRedefine/>
    <w:unhideWhenUsed/>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autoRedefine/>
    <w:unhideWhenUsed/>
    <w:qFormat/>
    <w:uiPriority w:val="39"/>
    <w:pPr>
      <w:spacing w:after="160" w:line="278" w:lineRule="auto"/>
      <w:ind w:left="2520" w:leftChars="1200"/>
      <w:jc w:val="left"/>
    </w:pPr>
    <w:rPr>
      <w:rFonts w:eastAsiaTheme="minorEastAsia"/>
      <w:sz w:val="22"/>
      <w:szCs w:val="24"/>
      <w14:ligatures w14:val="standardContextual"/>
    </w:rPr>
  </w:style>
  <w:style w:type="paragraph" w:styleId="6">
    <w:name w:val="annotation text"/>
    <w:basedOn w:val="1"/>
    <w:link w:val="38"/>
    <w:autoRedefine/>
    <w:qFormat/>
    <w:uiPriority w:val="0"/>
    <w:pPr>
      <w:jc w:val="left"/>
    </w:pPr>
    <w:rPr>
      <w:rFonts w:ascii="Times New Roman" w:hAnsi="Times New Roman" w:eastAsia="宋体" w:cs="Times New Roman"/>
      <w:sz w:val="21"/>
      <w:szCs w:val="24"/>
    </w:rPr>
  </w:style>
  <w:style w:type="paragraph" w:styleId="7">
    <w:name w:val="Body Text"/>
    <w:basedOn w:val="1"/>
    <w:link w:val="39"/>
    <w:qFormat/>
    <w:uiPriority w:val="0"/>
    <w:pPr>
      <w:spacing w:after="120"/>
    </w:pPr>
    <w:rPr>
      <w:rFonts w:ascii="Times New Roman" w:hAnsi="Times New Roman" w:eastAsia="宋体" w:cs="Times New Roman"/>
      <w:sz w:val="21"/>
      <w:szCs w:val="24"/>
    </w:rPr>
  </w:style>
  <w:style w:type="paragraph" w:styleId="8">
    <w:name w:val="Body Text Indent"/>
    <w:basedOn w:val="1"/>
    <w:link w:val="40"/>
    <w:unhideWhenUsed/>
    <w:qFormat/>
    <w:uiPriority w:val="0"/>
    <w:pPr>
      <w:spacing w:after="120"/>
      <w:ind w:left="420" w:leftChars="200"/>
    </w:pPr>
    <w:rPr>
      <w:rFonts w:ascii="Times New Roman" w:hAnsi="Times New Roman" w:eastAsia="宋体" w:cs="Times New Roman"/>
      <w:kern w:val="0"/>
      <w:sz w:val="20"/>
      <w:szCs w:val="24"/>
      <w:lang w:val="zh-CN"/>
    </w:rPr>
  </w:style>
  <w:style w:type="paragraph" w:styleId="9">
    <w:name w:val="toc 5"/>
    <w:basedOn w:val="1"/>
    <w:next w:val="1"/>
    <w:autoRedefine/>
    <w:unhideWhenUsed/>
    <w:qFormat/>
    <w:uiPriority w:val="39"/>
    <w:pPr>
      <w:spacing w:after="160" w:line="278" w:lineRule="auto"/>
      <w:ind w:left="1680" w:leftChars="800"/>
      <w:jc w:val="left"/>
    </w:pPr>
    <w:rPr>
      <w:rFonts w:eastAsiaTheme="minorEastAsia"/>
      <w:sz w:val="22"/>
      <w:szCs w:val="24"/>
      <w14:ligatures w14:val="standardContextual"/>
    </w:rPr>
  </w:style>
  <w:style w:type="paragraph" w:styleId="10">
    <w:name w:val="toc 3"/>
    <w:basedOn w:val="1"/>
    <w:next w:val="1"/>
    <w:autoRedefine/>
    <w:qFormat/>
    <w:uiPriority w:val="39"/>
    <w:pPr>
      <w:ind w:left="840" w:leftChars="400"/>
    </w:pPr>
    <w:rPr>
      <w:rFonts w:ascii="Times New Roman" w:hAnsi="Times New Roman" w:eastAsia="宋体" w:cs="Times New Roman"/>
      <w:sz w:val="21"/>
      <w:szCs w:val="24"/>
    </w:rPr>
  </w:style>
  <w:style w:type="paragraph" w:styleId="11">
    <w:name w:val="toc 8"/>
    <w:basedOn w:val="1"/>
    <w:next w:val="1"/>
    <w:autoRedefine/>
    <w:unhideWhenUsed/>
    <w:qFormat/>
    <w:uiPriority w:val="39"/>
    <w:pPr>
      <w:spacing w:after="160" w:line="278" w:lineRule="auto"/>
      <w:ind w:left="2940" w:leftChars="1400"/>
      <w:jc w:val="left"/>
    </w:pPr>
    <w:rPr>
      <w:rFonts w:eastAsiaTheme="minorEastAsia"/>
      <w:sz w:val="22"/>
      <w:szCs w:val="24"/>
      <w14:ligatures w14:val="standardContextual"/>
    </w:rPr>
  </w:style>
  <w:style w:type="paragraph" w:styleId="12">
    <w:name w:val="Date"/>
    <w:basedOn w:val="1"/>
    <w:next w:val="1"/>
    <w:link w:val="41"/>
    <w:unhideWhenUsed/>
    <w:qFormat/>
    <w:uiPriority w:val="0"/>
    <w:pPr>
      <w:ind w:left="100" w:leftChars="2500"/>
    </w:pPr>
    <w:rPr>
      <w:rFonts w:ascii="Times New Roman" w:hAnsi="Times New Roman" w:eastAsia="宋体" w:cs="Times New Roman"/>
      <w:kern w:val="0"/>
      <w:sz w:val="20"/>
      <w:szCs w:val="24"/>
      <w:lang w:val="zh-CN"/>
    </w:rPr>
  </w:style>
  <w:style w:type="paragraph" w:styleId="13">
    <w:name w:val="Body Text Indent 2"/>
    <w:basedOn w:val="1"/>
    <w:link w:val="42"/>
    <w:qFormat/>
    <w:uiPriority w:val="0"/>
    <w:pPr>
      <w:spacing w:line="600" w:lineRule="exact"/>
      <w:ind w:firstLine="600" w:firstLineChars="200"/>
    </w:pPr>
    <w:rPr>
      <w:rFonts w:ascii="仿宋_GB2312" w:hAnsi="宋体" w:cs="Times New Roman"/>
      <w:kern w:val="0"/>
      <w:szCs w:val="30"/>
      <w:lang w:val="zh-CN"/>
    </w:rPr>
  </w:style>
  <w:style w:type="paragraph" w:styleId="14">
    <w:name w:val="Balloon Text"/>
    <w:basedOn w:val="1"/>
    <w:link w:val="43"/>
    <w:autoRedefine/>
    <w:qFormat/>
    <w:uiPriority w:val="0"/>
    <w:rPr>
      <w:rFonts w:ascii="Times New Roman" w:hAnsi="Times New Roman" w:eastAsia="宋体" w:cs="Times New Roman"/>
      <w:sz w:val="18"/>
      <w:szCs w:val="18"/>
    </w:rPr>
  </w:style>
  <w:style w:type="paragraph" w:styleId="15">
    <w:name w:val="footer"/>
    <w:basedOn w:val="1"/>
    <w:link w:val="44"/>
    <w:qFormat/>
    <w:uiPriority w:val="99"/>
    <w:pPr>
      <w:tabs>
        <w:tab w:val="center" w:pos="4153"/>
        <w:tab w:val="right" w:pos="8306"/>
      </w:tabs>
      <w:snapToGrid w:val="0"/>
      <w:jc w:val="left"/>
    </w:pPr>
    <w:rPr>
      <w:sz w:val="18"/>
      <w:szCs w:val="18"/>
    </w:rPr>
  </w:style>
  <w:style w:type="paragraph" w:styleId="16">
    <w:name w:val="header"/>
    <w:basedOn w:val="1"/>
    <w:link w:val="45"/>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autoRedefine/>
    <w:unhideWhenUsed/>
    <w:qFormat/>
    <w:uiPriority w:val="39"/>
    <w:pPr>
      <w:widowControl/>
      <w:tabs>
        <w:tab w:val="left" w:pos="420"/>
        <w:tab w:val="right" w:leader="dot" w:pos="8296"/>
      </w:tabs>
      <w:adjustRightInd w:val="0"/>
      <w:snapToGrid w:val="0"/>
      <w:spacing w:before="156" w:beforeLines="50" w:after="156" w:afterLines="50"/>
      <w:jc w:val="left"/>
    </w:pPr>
    <w:rPr>
      <w:rFonts w:ascii="Times New Roman" w:hAnsi="Times New Roman" w:eastAsia="微软雅黑"/>
      <w:b/>
      <w:bCs/>
      <w:kern w:val="0"/>
      <w:sz w:val="22"/>
      <w:szCs w:val="21"/>
    </w:rPr>
  </w:style>
  <w:style w:type="paragraph" w:styleId="18">
    <w:name w:val="toc 4"/>
    <w:basedOn w:val="1"/>
    <w:next w:val="1"/>
    <w:autoRedefine/>
    <w:unhideWhenUsed/>
    <w:qFormat/>
    <w:uiPriority w:val="39"/>
    <w:pPr>
      <w:spacing w:after="160" w:line="278" w:lineRule="auto"/>
      <w:ind w:left="1260" w:leftChars="600"/>
      <w:jc w:val="left"/>
    </w:pPr>
    <w:rPr>
      <w:rFonts w:eastAsiaTheme="minorEastAsia"/>
      <w:sz w:val="22"/>
      <w:szCs w:val="24"/>
      <w14:ligatures w14:val="standardContextual"/>
    </w:rPr>
  </w:style>
  <w:style w:type="paragraph" w:styleId="19">
    <w:name w:val="footnote text"/>
    <w:basedOn w:val="1"/>
    <w:link w:val="46"/>
    <w:autoRedefine/>
    <w:qFormat/>
    <w:uiPriority w:val="0"/>
    <w:pPr>
      <w:snapToGrid w:val="0"/>
      <w:jc w:val="left"/>
    </w:pPr>
    <w:rPr>
      <w:rFonts w:ascii="Times New Roman" w:hAnsi="Times New Roman" w:eastAsia="宋体" w:cs="Times New Roman"/>
      <w:sz w:val="18"/>
      <w:szCs w:val="18"/>
    </w:rPr>
  </w:style>
  <w:style w:type="paragraph" w:styleId="20">
    <w:name w:val="toc 6"/>
    <w:basedOn w:val="1"/>
    <w:next w:val="1"/>
    <w:autoRedefine/>
    <w:unhideWhenUsed/>
    <w:qFormat/>
    <w:uiPriority w:val="39"/>
    <w:pPr>
      <w:spacing w:after="160" w:line="278" w:lineRule="auto"/>
      <w:ind w:left="2100" w:leftChars="1000"/>
      <w:jc w:val="left"/>
    </w:pPr>
    <w:rPr>
      <w:rFonts w:eastAsiaTheme="minorEastAsia"/>
      <w:sz w:val="22"/>
      <w:szCs w:val="24"/>
      <w14:ligatures w14:val="standardContextual"/>
    </w:rPr>
  </w:style>
  <w:style w:type="paragraph" w:styleId="21">
    <w:name w:val="Body Text Indent 3"/>
    <w:basedOn w:val="1"/>
    <w:link w:val="47"/>
    <w:unhideWhenUsed/>
    <w:qFormat/>
    <w:uiPriority w:val="0"/>
    <w:pPr>
      <w:spacing w:after="120"/>
      <w:ind w:left="420" w:leftChars="200"/>
    </w:pPr>
    <w:rPr>
      <w:rFonts w:ascii="Times New Roman" w:hAnsi="Times New Roman" w:eastAsia="宋体" w:cs="Times New Roman"/>
      <w:kern w:val="0"/>
      <w:sz w:val="16"/>
      <w:szCs w:val="16"/>
      <w:lang w:val="zh-CN"/>
    </w:rPr>
  </w:style>
  <w:style w:type="paragraph" w:styleId="22">
    <w:name w:val="toc 2"/>
    <w:basedOn w:val="1"/>
    <w:next w:val="1"/>
    <w:autoRedefine/>
    <w:unhideWhenUsed/>
    <w:qFormat/>
    <w:uiPriority w:val="39"/>
    <w:pPr>
      <w:widowControl/>
      <w:tabs>
        <w:tab w:val="right" w:leader="dot" w:pos="8296"/>
      </w:tabs>
      <w:adjustRightInd w:val="0"/>
      <w:snapToGrid w:val="0"/>
      <w:spacing w:before="156" w:beforeLines="50" w:after="156" w:afterLines="50"/>
      <w:ind w:left="600" w:leftChars="200"/>
    </w:pPr>
    <w:rPr>
      <w:rFonts w:ascii="黑体" w:hAnsi="黑体" w:eastAsia="黑体" w:cs="Times New Roman"/>
      <w:b/>
      <w:kern w:val="0"/>
      <w:sz w:val="20"/>
      <w:szCs w:val="20"/>
    </w:rPr>
  </w:style>
  <w:style w:type="paragraph" w:styleId="23">
    <w:name w:val="toc 9"/>
    <w:basedOn w:val="1"/>
    <w:next w:val="1"/>
    <w:autoRedefine/>
    <w:unhideWhenUsed/>
    <w:qFormat/>
    <w:uiPriority w:val="39"/>
    <w:pPr>
      <w:spacing w:after="160" w:line="278" w:lineRule="auto"/>
      <w:ind w:left="3360" w:leftChars="1600"/>
      <w:jc w:val="left"/>
    </w:pPr>
    <w:rPr>
      <w:rFonts w:eastAsiaTheme="minorEastAsia"/>
      <w:sz w:val="22"/>
      <w:szCs w:val="24"/>
      <w14:ligatures w14:val="standardContextual"/>
    </w:rPr>
  </w:style>
  <w:style w:type="paragraph" w:styleId="24">
    <w:name w:val="HTML Preformatted"/>
    <w:basedOn w:val="1"/>
    <w:link w:val="48"/>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Times New Roman"/>
      <w:kern w:val="0"/>
      <w:sz w:val="24"/>
      <w:szCs w:val="24"/>
      <w:lang w:val="zh-CN"/>
    </w:rPr>
  </w:style>
  <w:style w:type="paragraph" w:styleId="25">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paragraph" w:styleId="26">
    <w:name w:val="annotation subject"/>
    <w:basedOn w:val="6"/>
    <w:next w:val="6"/>
    <w:link w:val="49"/>
    <w:autoRedefine/>
    <w:qFormat/>
    <w:uiPriority w:val="0"/>
    <w:rPr>
      <w:b/>
      <w:bCs/>
    </w:rPr>
  </w:style>
  <w:style w:type="table" w:styleId="28">
    <w:name w:val="Table Grid"/>
    <w:basedOn w:val="27"/>
    <w:autoRedefine/>
    <w:qFormat/>
    <w:uiPriority w:val="0"/>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autoRedefine/>
    <w:qFormat/>
    <w:uiPriority w:val="0"/>
    <w:rPr>
      <w:b/>
      <w:bCs/>
    </w:rPr>
  </w:style>
  <w:style w:type="character" w:styleId="31">
    <w:name w:val="page number"/>
    <w:basedOn w:val="29"/>
    <w:autoRedefine/>
    <w:qFormat/>
    <w:uiPriority w:val="0"/>
  </w:style>
  <w:style w:type="character" w:styleId="32">
    <w:name w:val="Hyperlink"/>
    <w:basedOn w:val="29"/>
    <w:autoRedefine/>
    <w:qFormat/>
    <w:uiPriority w:val="99"/>
    <w:rPr>
      <w:color w:val="0563C1" w:themeColor="hyperlink"/>
      <w:u w:val="single"/>
      <w14:textFill>
        <w14:solidFill>
          <w14:schemeClr w14:val="hlink"/>
        </w14:solidFill>
      </w14:textFill>
    </w:rPr>
  </w:style>
  <w:style w:type="character" w:styleId="33">
    <w:name w:val="annotation reference"/>
    <w:basedOn w:val="29"/>
    <w:autoRedefine/>
    <w:qFormat/>
    <w:uiPriority w:val="0"/>
    <w:rPr>
      <w:sz w:val="21"/>
      <w:szCs w:val="21"/>
    </w:rPr>
  </w:style>
  <w:style w:type="character" w:styleId="34">
    <w:name w:val="footnote reference"/>
    <w:basedOn w:val="29"/>
    <w:autoRedefine/>
    <w:qFormat/>
    <w:uiPriority w:val="0"/>
    <w:rPr>
      <w:vertAlign w:val="superscript"/>
    </w:rPr>
  </w:style>
  <w:style w:type="character" w:customStyle="1" w:styleId="35">
    <w:name w:val="标题 1 字符"/>
    <w:basedOn w:val="29"/>
    <w:link w:val="2"/>
    <w:qFormat/>
    <w:uiPriority w:val="0"/>
    <w:rPr>
      <w:rFonts w:ascii="Times New Roman" w:hAnsi="Times New Roman" w:eastAsia="宋体" w:cs="Times New Roman"/>
      <w:b/>
      <w:bCs/>
      <w:kern w:val="44"/>
      <w:sz w:val="44"/>
      <w:szCs w:val="44"/>
      <w:lang w:val="zh-CN"/>
    </w:rPr>
  </w:style>
  <w:style w:type="character" w:customStyle="1" w:styleId="36">
    <w:name w:val="标题 2 字符"/>
    <w:basedOn w:val="29"/>
    <w:link w:val="3"/>
    <w:qFormat/>
    <w:uiPriority w:val="9"/>
    <w:rPr>
      <w:rFonts w:ascii="宋体" w:hAnsi="宋体" w:eastAsia="宋体" w:cs="Times New Roman"/>
      <w:b/>
      <w:bCs/>
      <w:kern w:val="0"/>
      <w:sz w:val="36"/>
      <w:szCs w:val="36"/>
    </w:rPr>
  </w:style>
  <w:style w:type="character" w:customStyle="1" w:styleId="37">
    <w:name w:val="标题 3 字符"/>
    <w:basedOn w:val="29"/>
    <w:link w:val="4"/>
    <w:qFormat/>
    <w:uiPriority w:val="0"/>
    <w:rPr>
      <w:rFonts w:ascii="Times New Roman" w:hAnsi="Times New Roman" w:eastAsia="宋体" w:cs="Times New Roman"/>
      <w:b/>
      <w:bCs/>
      <w:sz w:val="32"/>
      <w:szCs w:val="32"/>
    </w:rPr>
  </w:style>
  <w:style w:type="character" w:customStyle="1" w:styleId="38">
    <w:name w:val="批注文字 字符"/>
    <w:basedOn w:val="29"/>
    <w:link w:val="6"/>
    <w:qFormat/>
    <w:uiPriority w:val="0"/>
    <w:rPr>
      <w:rFonts w:ascii="Times New Roman" w:hAnsi="Times New Roman" w:eastAsia="宋体" w:cs="Times New Roman"/>
      <w:szCs w:val="24"/>
    </w:rPr>
  </w:style>
  <w:style w:type="character" w:customStyle="1" w:styleId="39">
    <w:name w:val="正文文本 字符"/>
    <w:basedOn w:val="29"/>
    <w:link w:val="7"/>
    <w:qFormat/>
    <w:uiPriority w:val="0"/>
    <w:rPr>
      <w:rFonts w:ascii="Times New Roman" w:hAnsi="Times New Roman" w:eastAsia="宋体" w:cs="Times New Roman"/>
      <w:szCs w:val="24"/>
    </w:rPr>
  </w:style>
  <w:style w:type="character" w:customStyle="1" w:styleId="40">
    <w:name w:val="正文文本缩进 字符"/>
    <w:basedOn w:val="29"/>
    <w:link w:val="8"/>
    <w:qFormat/>
    <w:uiPriority w:val="0"/>
    <w:rPr>
      <w:rFonts w:ascii="Times New Roman" w:hAnsi="Times New Roman" w:eastAsia="宋体" w:cs="Times New Roman"/>
      <w:kern w:val="0"/>
      <w:sz w:val="20"/>
      <w:szCs w:val="24"/>
      <w:lang w:val="zh-CN"/>
    </w:rPr>
  </w:style>
  <w:style w:type="character" w:customStyle="1" w:styleId="41">
    <w:name w:val="日期 字符"/>
    <w:basedOn w:val="29"/>
    <w:link w:val="12"/>
    <w:qFormat/>
    <w:uiPriority w:val="0"/>
    <w:rPr>
      <w:rFonts w:ascii="Times New Roman" w:hAnsi="Times New Roman" w:eastAsia="宋体" w:cs="Times New Roman"/>
      <w:kern w:val="0"/>
      <w:sz w:val="20"/>
      <w:szCs w:val="24"/>
      <w:lang w:val="zh-CN"/>
    </w:rPr>
  </w:style>
  <w:style w:type="character" w:customStyle="1" w:styleId="42">
    <w:name w:val="正文文本缩进 2 字符"/>
    <w:basedOn w:val="29"/>
    <w:link w:val="13"/>
    <w:qFormat/>
    <w:uiPriority w:val="0"/>
    <w:rPr>
      <w:rFonts w:ascii="仿宋_GB2312" w:hAnsi="宋体" w:eastAsia="仿宋_GB2312" w:cs="Times New Roman"/>
      <w:kern w:val="0"/>
      <w:sz w:val="30"/>
      <w:szCs w:val="30"/>
      <w:lang w:val="zh-CN"/>
    </w:rPr>
  </w:style>
  <w:style w:type="character" w:customStyle="1" w:styleId="43">
    <w:name w:val="批注框文本 字符"/>
    <w:basedOn w:val="29"/>
    <w:link w:val="14"/>
    <w:qFormat/>
    <w:uiPriority w:val="0"/>
    <w:rPr>
      <w:rFonts w:ascii="Times New Roman" w:hAnsi="Times New Roman" w:eastAsia="宋体" w:cs="Times New Roman"/>
      <w:sz w:val="18"/>
      <w:szCs w:val="18"/>
    </w:rPr>
  </w:style>
  <w:style w:type="character" w:customStyle="1" w:styleId="44">
    <w:name w:val="页脚 字符"/>
    <w:basedOn w:val="29"/>
    <w:link w:val="15"/>
    <w:qFormat/>
    <w:uiPriority w:val="99"/>
    <w:rPr>
      <w:rFonts w:eastAsia="仿宋_GB2312"/>
      <w:sz w:val="18"/>
      <w:szCs w:val="18"/>
    </w:rPr>
  </w:style>
  <w:style w:type="character" w:customStyle="1" w:styleId="45">
    <w:name w:val="页眉 字符"/>
    <w:basedOn w:val="29"/>
    <w:link w:val="16"/>
    <w:qFormat/>
    <w:uiPriority w:val="0"/>
    <w:rPr>
      <w:rFonts w:eastAsia="仿宋_GB2312"/>
      <w:sz w:val="18"/>
      <w:szCs w:val="18"/>
    </w:rPr>
  </w:style>
  <w:style w:type="character" w:customStyle="1" w:styleId="46">
    <w:name w:val="脚注文本 字符"/>
    <w:basedOn w:val="29"/>
    <w:link w:val="19"/>
    <w:qFormat/>
    <w:uiPriority w:val="0"/>
    <w:rPr>
      <w:rFonts w:ascii="Times New Roman" w:hAnsi="Times New Roman" w:eastAsia="宋体" w:cs="Times New Roman"/>
      <w:sz w:val="18"/>
      <w:szCs w:val="18"/>
    </w:rPr>
  </w:style>
  <w:style w:type="character" w:customStyle="1" w:styleId="47">
    <w:name w:val="正文文本缩进 3 字符"/>
    <w:basedOn w:val="29"/>
    <w:link w:val="21"/>
    <w:qFormat/>
    <w:uiPriority w:val="0"/>
    <w:rPr>
      <w:rFonts w:ascii="Times New Roman" w:hAnsi="Times New Roman" w:eastAsia="宋体" w:cs="Times New Roman"/>
      <w:kern w:val="0"/>
      <w:sz w:val="16"/>
      <w:szCs w:val="16"/>
      <w:lang w:val="zh-CN"/>
    </w:rPr>
  </w:style>
  <w:style w:type="character" w:customStyle="1" w:styleId="48">
    <w:name w:val="HTML 预设格式 字符"/>
    <w:basedOn w:val="29"/>
    <w:link w:val="24"/>
    <w:qFormat/>
    <w:uiPriority w:val="0"/>
    <w:rPr>
      <w:rFonts w:ascii="宋体" w:hAnsi="宋体" w:eastAsia="宋体" w:cs="Times New Roman"/>
      <w:kern w:val="0"/>
      <w:sz w:val="24"/>
      <w:szCs w:val="24"/>
      <w:lang w:val="zh-CN"/>
    </w:rPr>
  </w:style>
  <w:style w:type="character" w:customStyle="1" w:styleId="49">
    <w:name w:val="批注主题 字符"/>
    <w:basedOn w:val="38"/>
    <w:link w:val="26"/>
    <w:qFormat/>
    <w:uiPriority w:val="0"/>
    <w:rPr>
      <w:rFonts w:ascii="Times New Roman" w:hAnsi="Times New Roman" w:eastAsia="宋体" w:cs="Times New Roman"/>
      <w:b/>
      <w:bCs/>
      <w:szCs w:val="24"/>
    </w:rPr>
  </w:style>
  <w:style w:type="paragraph" w:customStyle="1" w:styleId="50">
    <w:name w:val="_Style 17"/>
    <w:basedOn w:val="1"/>
    <w:next w:val="51"/>
    <w:autoRedefine/>
    <w:qFormat/>
    <w:uiPriority w:val="34"/>
    <w:pPr>
      <w:ind w:firstLine="420" w:firstLineChars="200"/>
    </w:pPr>
    <w:rPr>
      <w:rFonts w:ascii="Times New Roman" w:hAnsi="Times New Roman" w:eastAsia="宋体" w:cs="Times New Roman"/>
      <w:sz w:val="21"/>
    </w:rPr>
  </w:style>
  <w:style w:type="paragraph" w:styleId="51">
    <w:name w:val="List Paragraph"/>
    <w:basedOn w:val="1"/>
    <w:autoRedefine/>
    <w:qFormat/>
    <w:uiPriority w:val="1"/>
    <w:pPr>
      <w:numPr>
        <w:ilvl w:val="0"/>
        <w:numId w:val="1"/>
      </w:numPr>
      <w:adjustRightInd w:val="0"/>
      <w:snapToGrid w:val="0"/>
    </w:pPr>
    <w:rPr>
      <w:rFonts w:ascii="仿宋_GB2312" w:hAnsi="Times New Roman" w:cs="Times New Roman"/>
      <w:sz w:val="24"/>
      <w:szCs w:val="24"/>
    </w:rPr>
  </w:style>
  <w:style w:type="paragraph" w:customStyle="1" w:styleId="52">
    <w:name w:val="WPSOffice手动目录 1"/>
    <w:autoRedefine/>
    <w:qFormat/>
    <w:uiPriority w:val="0"/>
    <w:rPr>
      <w:rFonts w:asciiTheme="minorHAnsi" w:hAnsiTheme="minorHAnsi" w:eastAsiaTheme="minorEastAsia" w:cstheme="minorBidi"/>
      <w:kern w:val="0"/>
      <w:sz w:val="20"/>
      <w:szCs w:val="20"/>
      <w:lang w:val="en-US" w:eastAsia="zh-CN" w:bidi="ar-SA"/>
    </w:rPr>
  </w:style>
  <w:style w:type="paragraph" w:customStyle="1" w:styleId="53">
    <w:name w:val="WPSOffice手动目录 2"/>
    <w:autoRedefine/>
    <w:qFormat/>
    <w:uiPriority w:val="0"/>
    <w:pPr>
      <w:ind w:left="200" w:leftChars="200"/>
    </w:pPr>
    <w:rPr>
      <w:rFonts w:asciiTheme="minorHAnsi" w:hAnsiTheme="minorHAnsi" w:eastAsiaTheme="minorEastAsia" w:cstheme="minorBidi"/>
      <w:kern w:val="0"/>
      <w:sz w:val="20"/>
      <w:szCs w:val="20"/>
      <w:lang w:val="en-US" w:eastAsia="zh-CN" w:bidi="ar-SA"/>
    </w:rPr>
  </w:style>
  <w:style w:type="paragraph" w:customStyle="1" w:styleId="54">
    <w:name w:val="修订1"/>
    <w:autoRedefine/>
    <w:hidden/>
    <w:unhideWhenUsed/>
    <w:qFormat/>
    <w:uiPriority w:val="99"/>
    <w:rPr>
      <w:rFonts w:ascii="Times New Roman" w:hAnsi="Times New Roman" w:eastAsia="宋体" w:cs="Times New Roman"/>
      <w:kern w:val="2"/>
      <w:sz w:val="21"/>
      <w:szCs w:val="24"/>
      <w:lang w:val="en-US" w:eastAsia="zh-CN" w:bidi="ar-SA"/>
    </w:rPr>
  </w:style>
  <w:style w:type="table" w:customStyle="1" w:styleId="55">
    <w:name w:val="网格型1"/>
    <w:basedOn w:val="27"/>
    <w:autoRedefine/>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6">
    <w:name w:val="TOC 标题1"/>
    <w:basedOn w:val="2"/>
    <w:next w:val="1"/>
    <w:autoRedefine/>
    <w:qFormat/>
    <w:uiPriority w:val="39"/>
    <w:pPr>
      <w:widowControl/>
      <w:spacing w:before="480" w:after="0" w:line="276" w:lineRule="auto"/>
      <w:jc w:val="left"/>
      <w:outlineLvl w:val="9"/>
    </w:pPr>
    <w:rPr>
      <w:rFonts w:ascii="Cambria" w:hAnsi="Cambria"/>
      <w:color w:val="365F91"/>
      <w:kern w:val="0"/>
      <w:sz w:val="28"/>
      <w:szCs w:val="28"/>
      <w:lang w:eastAsia="en-US"/>
    </w:rPr>
  </w:style>
  <w:style w:type="paragraph" w:customStyle="1" w:styleId="57">
    <w:name w:val="修订2"/>
    <w:autoRedefine/>
    <w:hidden/>
    <w:unhideWhenUsed/>
    <w:qFormat/>
    <w:uiPriority w:val="99"/>
    <w:rPr>
      <w:rFonts w:ascii="Times New Roman" w:hAnsi="Times New Roman" w:eastAsia="宋体" w:cs="Times New Roman"/>
      <w:kern w:val="2"/>
      <w:sz w:val="21"/>
      <w:szCs w:val="24"/>
      <w:lang w:val="en-US" w:eastAsia="zh-CN" w:bidi="ar-SA"/>
    </w:rPr>
  </w:style>
  <w:style w:type="paragraph" w:customStyle="1" w:styleId="58">
    <w:name w:val="Pa4"/>
    <w:basedOn w:val="1"/>
    <w:next w:val="1"/>
    <w:autoRedefine/>
    <w:qFormat/>
    <w:uiPriority w:val="99"/>
    <w:pPr>
      <w:autoSpaceDE w:val="0"/>
      <w:autoSpaceDN w:val="0"/>
      <w:adjustRightInd w:val="0"/>
      <w:spacing w:line="241" w:lineRule="atLeast"/>
      <w:jc w:val="left"/>
    </w:pPr>
    <w:rPr>
      <w:rFonts w:ascii="Source Han Serif CN" w:hAnsi="Times New Roman" w:eastAsia="Source Han Serif CN" w:cs="Times New Roman"/>
      <w:kern w:val="0"/>
      <w:sz w:val="24"/>
      <w:szCs w:val="24"/>
    </w:rPr>
  </w:style>
  <w:style w:type="character" w:customStyle="1" w:styleId="59">
    <w:name w:val="A8"/>
    <w:autoRedefine/>
    <w:qFormat/>
    <w:uiPriority w:val="99"/>
    <w:rPr>
      <w:rFonts w:cs="Source Han Serif CN"/>
      <w:color w:val="211D1E"/>
      <w:sz w:val="18"/>
      <w:szCs w:val="18"/>
    </w:rPr>
  </w:style>
  <w:style w:type="character" w:customStyle="1" w:styleId="60">
    <w:name w:val="未处理的提及1"/>
    <w:basedOn w:val="29"/>
    <w:autoRedefine/>
    <w:semiHidden/>
    <w:unhideWhenUsed/>
    <w:qFormat/>
    <w:uiPriority w:val="99"/>
    <w:rPr>
      <w:color w:val="605E5C"/>
      <w:shd w:val="clear" w:color="auto" w:fill="E1DFDD"/>
    </w:rPr>
  </w:style>
  <w:style w:type="paragraph" w:customStyle="1" w:styleId="61">
    <w:name w:val="Pa21"/>
    <w:basedOn w:val="1"/>
    <w:next w:val="1"/>
    <w:autoRedefine/>
    <w:qFormat/>
    <w:uiPriority w:val="99"/>
    <w:pPr>
      <w:autoSpaceDE w:val="0"/>
      <w:autoSpaceDN w:val="0"/>
      <w:adjustRightInd w:val="0"/>
      <w:spacing w:line="241" w:lineRule="atLeast"/>
      <w:jc w:val="left"/>
    </w:pPr>
    <w:rPr>
      <w:rFonts w:ascii="Source Han Serif CN" w:hAnsi="Times New Roman" w:eastAsia="Source Han Serif CN" w:cs="Times New Roman"/>
      <w:kern w:val="0"/>
      <w:sz w:val="24"/>
      <w:szCs w:val="24"/>
    </w:rPr>
  </w:style>
  <w:style w:type="character" w:customStyle="1" w:styleId="62">
    <w:name w:val="A11"/>
    <w:autoRedefine/>
    <w:qFormat/>
    <w:uiPriority w:val="99"/>
    <w:rPr>
      <w:rFonts w:cs="Source Han Serif CN"/>
      <w:color w:val="211D1E"/>
      <w:sz w:val="10"/>
      <w:szCs w:val="10"/>
    </w:rPr>
  </w:style>
  <w:style w:type="paragraph" w:customStyle="1" w:styleId="63">
    <w:name w:val="Pa0"/>
    <w:basedOn w:val="1"/>
    <w:next w:val="1"/>
    <w:autoRedefine/>
    <w:qFormat/>
    <w:uiPriority w:val="99"/>
    <w:pPr>
      <w:autoSpaceDE w:val="0"/>
      <w:autoSpaceDN w:val="0"/>
      <w:adjustRightInd w:val="0"/>
      <w:spacing w:line="241" w:lineRule="atLeast"/>
      <w:jc w:val="left"/>
    </w:pPr>
    <w:rPr>
      <w:rFonts w:ascii="Source Han Serif CN" w:hAnsi="Times New Roman" w:eastAsia="Source Han Serif CN" w:cs="Times New Roman"/>
      <w:kern w:val="0"/>
      <w:sz w:val="24"/>
      <w:szCs w:val="24"/>
    </w:rPr>
  </w:style>
  <w:style w:type="paragraph" w:customStyle="1" w:styleId="64">
    <w:name w:val="TOC 标题2"/>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lang w:val="en-US"/>
    </w:rPr>
  </w:style>
  <w:style w:type="paragraph" w:customStyle="1" w:styleId="65">
    <w:name w:val="修订3"/>
    <w:autoRedefine/>
    <w:hidden/>
    <w:unhideWhenUsed/>
    <w:qFormat/>
    <w:uiPriority w:val="99"/>
    <w:rPr>
      <w:rFonts w:ascii="Times New Roman" w:hAnsi="Times New Roman" w:eastAsia="宋体" w:cs="Times New Roman"/>
      <w:kern w:val="2"/>
      <w:sz w:val="21"/>
      <w:szCs w:val="24"/>
      <w:lang w:val="en-US" w:eastAsia="zh-CN" w:bidi="ar-SA"/>
    </w:rPr>
  </w:style>
  <w:style w:type="character" w:customStyle="1" w:styleId="66">
    <w:name w:val="15"/>
    <w:basedOn w:val="29"/>
    <w:autoRedefine/>
    <w:qFormat/>
    <w:uiPriority w:val="0"/>
    <w:rPr>
      <w:rFonts w:hint="default" w:ascii="Times New Roman" w:hAnsi="Times New Roman" w:cs="Source Han Serif CN"/>
      <w:color w:val="211D1E"/>
      <w:sz w:val="18"/>
      <w:szCs w:val="18"/>
    </w:rPr>
  </w:style>
  <w:style w:type="paragraph" w:customStyle="1" w:styleId="67">
    <w:name w:val="修订4"/>
    <w:hidden/>
    <w:unhideWhenUsed/>
    <w:qFormat/>
    <w:uiPriority w:val="99"/>
    <w:rPr>
      <w:rFonts w:ascii="Times New Roman" w:hAnsi="Times New Roman" w:eastAsia="宋体" w:cs="Times New Roman"/>
      <w:kern w:val="2"/>
      <w:sz w:val="21"/>
      <w:szCs w:val="24"/>
      <w:lang w:val="en-US" w:eastAsia="zh-CN" w:bidi="ar-SA"/>
    </w:rPr>
  </w:style>
  <w:style w:type="paragraph" w:customStyle="1" w:styleId="68">
    <w:name w:val="修订5"/>
    <w:hidden/>
    <w:unhideWhenUsed/>
    <w:qFormat/>
    <w:uiPriority w:val="99"/>
    <w:rPr>
      <w:rFonts w:ascii="Times New Roman" w:hAnsi="Times New Roman" w:eastAsia="宋体" w:cs="Times New Roman"/>
      <w:kern w:val="2"/>
      <w:sz w:val="21"/>
      <w:szCs w:val="24"/>
      <w:lang w:val="en-US" w:eastAsia="zh-CN" w:bidi="ar-SA"/>
    </w:rPr>
  </w:style>
  <w:style w:type="paragraph" w:customStyle="1" w:styleId="69">
    <w:name w:val="修订6"/>
    <w:hidden/>
    <w:unhideWhenUsed/>
    <w:qFormat/>
    <w:uiPriority w:val="99"/>
    <w:rPr>
      <w:rFonts w:ascii="Times New Roman" w:hAnsi="Times New Roman" w:eastAsia="宋体" w:cs="Times New Roman"/>
      <w:kern w:val="2"/>
      <w:sz w:val="21"/>
      <w:szCs w:val="24"/>
      <w:lang w:val="en-US" w:eastAsia="zh-CN" w:bidi="ar-SA"/>
    </w:rPr>
  </w:style>
  <w:style w:type="character" w:customStyle="1" w:styleId="70">
    <w:name w:val="已访问的超链接1"/>
    <w:autoRedefine/>
    <w:qFormat/>
    <w:uiPriority w:val="0"/>
    <w:rPr>
      <w:color w:val="800080"/>
      <w:u w:val="single"/>
    </w:rPr>
  </w:style>
  <w:style w:type="character" w:customStyle="1" w:styleId="71">
    <w:name w:val="apple-style-span"/>
    <w:basedOn w:val="29"/>
    <w:autoRedefine/>
    <w:qFormat/>
    <w:uiPriority w:val="0"/>
  </w:style>
  <w:style w:type="paragraph" w:customStyle="1" w:styleId="72">
    <w:name w:val="列出段落1"/>
    <w:basedOn w:val="1"/>
    <w:autoRedefine/>
    <w:qFormat/>
    <w:uiPriority w:val="34"/>
    <w:pPr>
      <w:ind w:firstLine="420" w:firstLineChars="200"/>
    </w:pPr>
    <w:rPr>
      <w:rFonts w:ascii="Times New Roman" w:hAnsi="Times New Roman" w:eastAsia="宋体" w:cs="Times New Roman"/>
      <w:sz w:val="21"/>
      <w:szCs w:val="24"/>
    </w:rPr>
  </w:style>
  <w:style w:type="paragraph" w:customStyle="1" w:styleId="73">
    <w:name w:val="目录 31"/>
    <w:basedOn w:val="1"/>
    <w:next w:val="1"/>
    <w:unhideWhenUsed/>
    <w:qFormat/>
    <w:uiPriority w:val="39"/>
    <w:pPr>
      <w:ind w:left="840" w:leftChars="400"/>
    </w:pPr>
    <w:rPr>
      <w:rFonts w:ascii="Times New Roman" w:hAnsi="Times New Roman" w:eastAsia="宋体" w:cs="Times New Roman"/>
      <w:sz w:val="21"/>
      <w:szCs w:val="24"/>
    </w:rPr>
  </w:style>
  <w:style w:type="paragraph" w:customStyle="1" w:styleId="74">
    <w:name w:val="目录 11"/>
    <w:basedOn w:val="1"/>
    <w:next w:val="1"/>
    <w:unhideWhenUsed/>
    <w:qFormat/>
    <w:uiPriority w:val="39"/>
    <w:pPr>
      <w:tabs>
        <w:tab w:val="right" w:leader="dot" w:pos="8302"/>
      </w:tabs>
      <w:spacing w:line="360" w:lineRule="auto"/>
    </w:pPr>
    <w:rPr>
      <w:rFonts w:ascii="Times New Roman" w:hAnsi="Times New Roman" w:eastAsia="宋体" w:cs="Times New Roman"/>
      <w:sz w:val="21"/>
      <w:szCs w:val="24"/>
    </w:rPr>
  </w:style>
  <w:style w:type="paragraph" w:customStyle="1" w:styleId="75">
    <w:name w:val="正文 A"/>
    <w:autoRedefine/>
    <w:qFormat/>
    <w:uiPriority w:val="0"/>
    <w:pPr>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 w:type="character" w:styleId="76">
    <w:name w:val="Placeholder Text"/>
    <w:basedOn w:val="29"/>
    <w:autoRedefine/>
    <w:unhideWhenUsed/>
    <w:qFormat/>
    <w:uiPriority w:val="99"/>
    <w:rPr>
      <w:color w:val="666666"/>
    </w:rPr>
  </w:style>
  <w:style w:type="table" w:customStyle="1" w:styleId="77">
    <w:name w:val="网格型浅色1"/>
    <w:basedOn w:val="27"/>
    <w:qFormat/>
    <w:uiPriority w:val="40"/>
    <w:rPr>
      <w:rFonts w:ascii="Times New Roman" w:hAnsi="Times New Roman" w:eastAsia="宋体" w:cs="Times New Roman"/>
      <w:kern w:val="0"/>
      <w:sz w:val="20"/>
      <w:szCs w:val="20"/>
    </w:rPr>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customStyle="1" w:styleId="78">
    <w:name w:val="修订7"/>
    <w:autoRedefine/>
    <w:hidden/>
    <w:unhideWhenUsed/>
    <w:qFormat/>
    <w:uiPriority w:val="99"/>
    <w:rPr>
      <w:rFonts w:ascii="Times New Roman" w:hAnsi="Times New Roman" w:eastAsia="宋体" w:cs="Times New Roman"/>
      <w:kern w:val="2"/>
      <w:sz w:val="21"/>
      <w:szCs w:val="24"/>
      <w:lang w:val="en-US" w:eastAsia="zh-CN" w:bidi="ar-SA"/>
    </w:rPr>
  </w:style>
  <w:style w:type="table" w:customStyle="1" w:styleId="79">
    <w:name w:val="网格型2"/>
    <w:basedOn w:val="27"/>
    <w:qFormat/>
    <w:uiPriority w:val="9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0">
    <w:name w:val="网格型3"/>
    <w:basedOn w:val="2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1">
    <w:name w:val="修订8"/>
    <w:hidden/>
    <w:unhideWhenUsed/>
    <w:qFormat/>
    <w:uiPriority w:val="99"/>
    <w:rPr>
      <w:rFonts w:ascii="Times New Roman" w:hAnsi="Times New Roman" w:eastAsia="宋体" w:cs="Times New Roman"/>
      <w:kern w:val="2"/>
      <w:sz w:val="21"/>
      <w:szCs w:val="24"/>
      <w:lang w:val="en-US" w:eastAsia="zh-CN" w:bidi="ar-SA"/>
    </w:rPr>
  </w:style>
  <w:style w:type="table" w:customStyle="1" w:styleId="82">
    <w:name w:val="网格型4"/>
    <w:basedOn w:val="27"/>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3">
    <w:name w:val="修订9"/>
    <w:hidden/>
    <w:semiHidden/>
    <w:qFormat/>
    <w:uiPriority w:val="99"/>
    <w:rPr>
      <w:rFonts w:eastAsia="仿宋_GB2312" w:asciiTheme="minorHAnsi" w:hAnsiTheme="minorHAnsi" w:cstheme="minorBidi"/>
      <w:kern w:val="2"/>
      <w:sz w:val="30"/>
      <w:szCs w:val="22"/>
      <w:lang w:val="en-US" w:eastAsia="zh-CN" w:bidi="ar-SA"/>
    </w:rPr>
  </w:style>
  <w:style w:type="table" w:customStyle="1" w:styleId="84">
    <w:name w:val="三线表1"/>
    <w:basedOn w:val="27"/>
    <w:qFormat/>
    <w:uiPriority w:val="0"/>
    <w:rPr>
      <w:rFonts w:ascii="等线" w:hAnsi="等线" w:eastAsia="等线" w:cs="Times New Roman"/>
      <w:szCs w:val="24"/>
    </w:rPr>
    <w:tblPr>
      <w:tblBorders>
        <w:top w:val="single" w:color="auto" w:sz="12" w:space="0"/>
        <w:bottom w:val="single" w:color="auto" w:sz="12" w:space="0"/>
      </w:tblBorders>
    </w:tblPr>
    <w:tblStylePr w:type="firstRow">
      <w:tcPr>
        <w:tcBorders>
          <w:bottom w:val="nil"/>
        </w:tcBorders>
      </w:tcPr>
    </w:tblStylePr>
  </w:style>
  <w:style w:type="paragraph" w:customStyle="1" w:styleId="85">
    <w:name w:val="修订10"/>
    <w:hidden/>
    <w:unhideWhenUsed/>
    <w:qFormat/>
    <w:uiPriority w:val="99"/>
    <w:rPr>
      <w:rFonts w:eastAsia="仿宋_GB2312" w:asciiTheme="minorHAnsi" w:hAnsiTheme="minorHAnsi" w:cstheme="minorBidi"/>
      <w:kern w:val="2"/>
      <w:sz w:val="30"/>
      <w:szCs w:val="22"/>
      <w:lang w:val="en-US" w:eastAsia="zh-CN" w:bidi="ar-SA"/>
    </w:rPr>
  </w:style>
  <w:style w:type="paragraph" w:customStyle="1" w:styleId="86">
    <w:name w:val="修订11"/>
    <w:hidden/>
    <w:unhideWhenUsed/>
    <w:qFormat/>
    <w:uiPriority w:val="99"/>
    <w:rPr>
      <w:rFonts w:eastAsia="仿宋_GB2312" w:asciiTheme="minorHAnsi" w:hAnsiTheme="minorHAnsi" w:cstheme="minorBidi"/>
      <w:kern w:val="2"/>
      <w:sz w:val="30"/>
      <w:szCs w:val="22"/>
      <w:lang w:val="en-US" w:eastAsia="zh-CN" w:bidi="ar-SA"/>
    </w:rPr>
  </w:style>
  <w:style w:type="paragraph" w:customStyle="1" w:styleId="87">
    <w:name w:val="修订12"/>
    <w:hidden/>
    <w:unhideWhenUsed/>
    <w:qFormat/>
    <w:uiPriority w:val="99"/>
    <w:rPr>
      <w:rFonts w:eastAsia="仿宋_GB2312" w:asciiTheme="minorHAnsi" w:hAnsiTheme="minorHAnsi" w:cstheme="minorBidi"/>
      <w:kern w:val="2"/>
      <w:sz w:val="30"/>
      <w:szCs w:val="22"/>
      <w:lang w:val="en-US" w:eastAsia="zh-CN" w:bidi="ar-SA"/>
    </w:rPr>
  </w:style>
  <w:style w:type="paragraph" w:customStyle="1" w:styleId="88">
    <w:name w:val="Revision"/>
    <w:hidden/>
    <w:semiHidden/>
    <w:qFormat/>
    <w:uiPriority w:val="99"/>
    <w:rPr>
      <w:rFonts w:eastAsia="仿宋_GB2312" w:asciiTheme="minorHAnsi" w:hAnsiTheme="minorHAnsi" w:cstheme="minorBidi"/>
      <w:kern w:val="2"/>
      <w:sz w:val="30"/>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19344</Words>
  <Characters>19742</Characters>
  <Lines>155</Lines>
  <Paragraphs>43</Paragraphs>
  <TotalTime>4</TotalTime>
  <ScaleCrop>false</ScaleCrop>
  <LinksUpToDate>false</LinksUpToDate>
  <CharactersWithSpaces>19843</CharactersWithSpaces>
  <Application>WPS Office_12.8.2.19313_F1E327BC-269C-435d-A152-05C5408002CA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2025-01-17T23:56:00Z</dcterms:created>
  <dc:creator>sse</dc:creator>
  <cp:lastModifiedBy>whxu</cp:lastModifiedBy>
  <dcterms:modified xsi:type="dcterms:W3CDTF">2025-01-17T18:38:43Z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2052-12.8.2.19313</vt:lpwstr>
  </property>
  <property fmtid="{D5CDD505-2E9C-101B-9397-08002B2CF9AE}" pid="3" name="ICV">
    <vt:lpwstr>43027849FA8115E6DD2C8A67B98F3241_42</vt:lpwstr>
  </property>
</Properties>
</file>