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ascii="黑体" w:hAnsi="黑体" w:eastAsia="黑体"/>
          <w:sz w:val="32"/>
          <w:szCs w:val="32"/>
        </w:rPr>
      </w:pPr>
      <w:bookmarkStart w:id="35" w:name="_GoBack"/>
      <w:bookmarkEnd w:id="35"/>
      <w:r>
        <w:rPr>
          <w:rFonts w:hint="eastAsia" w:ascii="黑体" w:hAnsi="黑体" w:eastAsia="黑体"/>
          <w:sz w:val="32"/>
          <w:szCs w:val="32"/>
        </w:rPr>
        <w:t>附件</w:t>
      </w:r>
    </w:p>
    <w:p>
      <w:pPr>
        <w:adjustRightInd w:val="0"/>
        <w:snapToGrid w:val="0"/>
        <w:spacing w:line="560" w:lineRule="exact"/>
        <w:jc w:val="left"/>
        <w:rPr>
          <w:rFonts w:ascii="仿宋_GB2312" w:hAnsi="黑体" w:eastAsia="仿宋_GB2312"/>
          <w:sz w:val="32"/>
          <w:szCs w:val="32"/>
        </w:rPr>
      </w:pPr>
    </w:p>
    <w:p>
      <w:pPr>
        <w:adjustRightInd w:val="0"/>
        <w:snapToGrid w:val="0"/>
        <w:spacing w:line="560" w:lineRule="exact"/>
        <w:jc w:val="center"/>
        <w:rPr>
          <w:rFonts w:ascii="方正大标宋简体" w:hAnsi="黑体" w:eastAsia="方正大标宋简体"/>
          <w:bCs/>
          <w:sz w:val="44"/>
          <w:szCs w:val="44"/>
        </w:rPr>
      </w:pPr>
      <w:r>
        <w:rPr>
          <w:rFonts w:hint="eastAsia" w:ascii="方正大标宋简体" w:hAnsi="黑体" w:eastAsia="方正大标宋简体"/>
          <w:bCs/>
          <w:sz w:val="44"/>
          <w:szCs w:val="44"/>
        </w:rPr>
        <w:t>上海证券交易所债券发行上市审核业务</w:t>
      </w:r>
    </w:p>
    <w:p>
      <w:pPr>
        <w:adjustRightInd w:val="0"/>
        <w:snapToGrid w:val="0"/>
        <w:spacing w:line="560" w:lineRule="exact"/>
        <w:jc w:val="center"/>
        <w:rPr>
          <w:rFonts w:ascii="方正大标宋简体" w:hAnsi="黑体" w:eastAsia="方正大标宋简体"/>
          <w:bCs/>
          <w:sz w:val="44"/>
          <w:szCs w:val="44"/>
        </w:rPr>
      </w:pPr>
      <w:r>
        <w:rPr>
          <w:rFonts w:hint="eastAsia" w:ascii="方正大标宋简体" w:hAnsi="黑体" w:eastAsia="方正大标宋简体"/>
          <w:bCs/>
          <w:sz w:val="44"/>
          <w:szCs w:val="44"/>
        </w:rPr>
        <w:t>指南第</w:t>
      </w:r>
      <w:r>
        <w:rPr>
          <w:rFonts w:ascii="方正大标宋简体" w:hAnsi="黑体" w:eastAsia="方正大标宋简体"/>
          <w:bCs/>
          <w:sz w:val="44"/>
          <w:szCs w:val="44"/>
        </w:rPr>
        <w:t>5号——</w:t>
      </w:r>
      <w:r>
        <w:rPr>
          <w:rFonts w:hint="eastAsia" w:ascii="方正大标宋简体" w:hAnsi="黑体" w:eastAsia="方正大标宋简体"/>
          <w:bCs/>
          <w:sz w:val="44"/>
          <w:szCs w:val="44"/>
        </w:rPr>
        <w:t>简明信息披露</w:t>
      </w:r>
    </w:p>
    <w:p>
      <w:pPr>
        <w:adjustRightInd w:val="0"/>
        <w:snapToGrid w:val="0"/>
        <w:spacing w:line="560" w:lineRule="exact"/>
        <w:ind w:firstLine="722" w:firstLineChars="200"/>
        <w:rPr>
          <w:rFonts w:ascii="黑体" w:hAnsi="黑体" w:eastAsia="黑体"/>
          <w:b/>
          <w:sz w:val="36"/>
          <w:szCs w:val="36"/>
        </w:rPr>
      </w:pPr>
    </w:p>
    <w:p>
      <w:pPr>
        <w:adjustRightInd w:val="0"/>
        <w:snapToGrid w:val="0"/>
        <w:spacing w:line="560" w:lineRule="exact"/>
        <w:jc w:val="center"/>
        <w:rPr>
          <w:rFonts w:ascii="黑体" w:hAnsi="黑体" w:eastAsia="黑体"/>
          <w:b/>
          <w:sz w:val="32"/>
          <w:szCs w:val="32"/>
        </w:rPr>
      </w:pPr>
      <w:r>
        <w:rPr>
          <w:rFonts w:hint="eastAsia" w:ascii="黑体" w:hAnsi="黑体" w:eastAsia="黑体"/>
          <w:b/>
          <w:sz w:val="32"/>
          <w:szCs w:val="32"/>
        </w:rPr>
        <w:t>第一章</w:t>
      </w:r>
      <w:r>
        <w:rPr>
          <w:rFonts w:ascii="黑体" w:hAnsi="黑体" w:eastAsia="黑体"/>
          <w:b/>
          <w:sz w:val="32"/>
          <w:szCs w:val="32"/>
        </w:rPr>
        <w:t xml:space="preserve"> </w:t>
      </w:r>
      <w:r>
        <w:rPr>
          <w:rFonts w:hint="eastAsia" w:ascii="黑体" w:hAnsi="黑体" w:eastAsia="黑体"/>
          <w:b/>
          <w:sz w:val="32"/>
          <w:szCs w:val="32"/>
        </w:rPr>
        <w:t>总则</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第一条</w:t>
      </w:r>
      <w:r>
        <w:rPr>
          <w:rFonts w:ascii="仿宋_GB2312" w:hAnsi="黑体" w:eastAsia="仿宋_GB2312"/>
          <w:b/>
          <w:sz w:val="32"/>
          <w:szCs w:val="32"/>
        </w:rPr>
        <w:t xml:space="preserve"> </w:t>
      </w:r>
      <w:r>
        <w:rPr>
          <w:rFonts w:hint="eastAsia" w:ascii="仿宋_GB2312" w:hAnsi="黑体" w:eastAsia="仿宋_GB2312"/>
          <w:sz w:val="32"/>
          <w:szCs w:val="32"/>
        </w:rPr>
        <w:t>为了提高信息披露针对性及有效性，提升优质市场主体债券融资效率，根据《上海证券交易所公司债券发行上市审核规则》《上海证券交易所公司债券上市规则》《上海证券交易所非公开发行公司债券挂牌规则》《上海证券交易所资产支持证券业务规则》等有关规定，制定本指南。</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第二条</w:t>
      </w:r>
      <w:r>
        <w:rPr>
          <w:rFonts w:ascii="仿宋_GB2312" w:hAnsi="黑体" w:eastAsia="仿宋_GB2312"/>
          <w:b/>
          <w:sz w:val="32"/>
          <w:szCs w:val="32"/>
        </w:rPr>
        <w:t xml:space="preserve"> </w:t>
      </w:r>
      <w:r>
        <w:rPr>
          <w:rFonts w:hint="eastAsia" w:ascii="仿宋_GB2312" w:hAnsi="黑体" w:eastAsia="仿宋_GB2312"/>
          <w:sz w:val="32"/>
          <w:szCs w:val="32"/>
        </w:rPr>
        <w:t>上海证券交易所（以下简称本所）按照分类监管理念，对下列符合条件的市场主体简化申报、发行及存续期的材料编制和信息披露安排，提高服务效率</w:t>
      </w:r>
      <w:r>
        <w:rPr>
          <w:rFonts w:ascii="仿宋_GB2312" w:hAnsi="黑体" w:eastAsia="仿宋_GB2312"/>
          <w:sz w:val="32"/>
          <w:szCs w:val="32"/>
        </w:rPr>
        <w:t>:</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（一）公司债券发行人（以下简称优质发行人），包括知名成熟发行人、符合条件的科技创新公司债券及绿色公司债券发行人、优质上市公司或者本所认可的其他发行人。</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（二）资产支持证券项目发起人（以下简称优质发起人），指经本所确认适用优化审核安排规定</w:t>
      </w:r>
      <w:r>
        <w:rPr>
          <w:rFonts w:ascii="仿宋_GB2312" w:hAnsi="黑体" w:eastAsia="仿宋_GB2312"/>
          <w:sz w:val="32"/>
          <w:szCs w:val="32"/>
        </w:rPr>
        <w:t>的资产支持证券项目发起人，发起人包括特定原始权益人、增信机构、依托其资产收入作为基础资产现金流来源并获得融资的主体等。</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前款第一项所称优质上市公司，是指最近两年信息披露工作评价结果均为</w:t>
      </w:r>
      <w:r>
        <w:rPr>
          <w:rFonts w:ascii="仿宋_GB2312" w:hAnsi="黑体" w:eastAsia="仿宋_GB2312"/>
          <w:sz w:val="32"/>
          <w:szCs w:val="32"/>
        </w:rPr>
        <w:t>A的</w:t>
      </w:r>
      <w:r>
        <w:rPr>
          <w:rFonts w:hint="eastAsia" w:ascii="仿宋_GB2312" w:hAnsi="黑体" w:eastAsia="仿宋_GB2312"/>
          <w:sz w:val="32"/>
          <w:szCs w:val="32"/>
        </w:rPr>
        <w:t>上市公司</w:t>
      </w:r>
      <w:r>
        <w:rPr>
          <w:rFonts w:ascii="仿宋_GB2312" w:hAnsi="黑体" w:eastAsia="仿宋_GB2312"/>
          <w:sz w:val="32"/>
          <w:szCs w:val="32"/>
        </w:rPr>
        <w:t>。</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第三条</w:t>
      </w:r>
      <w:r>
        <w:rPr>
          <w:rFonts w:ascii="仿宋_GB2312" w:hAnsi="黑体" w:eastAsia="仿宋_GB2312"/>
          <w:b/>
          <w:sz w:val="32"/>
          <w:szCs w:val="32"/>
        </w:rPr>
        <w:t xml:space="preserve"> </w:t>
      </w:r>
      <w:r>
        <w:rPr>
          <w:rFonts w:hint="eastAsia" w:ascii="仿宋_GB2312" w:hAnsi="黑体" w:eastAsia="仿宋_GB2312"/>
          <w:sz w:val="32"/>
          <w:szCs w:val="32"/>
        </w:rPr>
        <w:t>本指南的规定是信息披露义务人及相关中介机构编制申报、发行材料及履行信息披露义务的最低要求。</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信息披露义务人应遵循重要性、针对性原则，以投资者需求为导向，根据自身个性化情况，在本指南基础上补充有利于投资者作出价值判断和对投资决策有重大影响的信息。</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发行人、发起人存在影响公司经营或偿债能力的重大不利变化，或存在影响发行上市或挂牌条件的重大事项的，不适用本指南规定的简明信息披露安排。</w:t>
      </w:r>
    </w:p>
    <w:p>
      <w:pPr>
        <w:adjustRightInd w:val="0"/>
        <w:snapToGrid w:val="0"/>
        <w:spacing w:line="560" w:lineRule="exact"/>
        <w:jc w:val="center"/>
        <w:rPr>
          <w:rFonts w:ascii="黑体" w:hAnsi="黑体" w:eastAsia="黑体"/>
          <w:b/>
          <w:sz w:val="32"/>
          <w:szCs w:val="32"/>
        </w:rPr>
      </w:pPr>
      <w:r>
        <w:rPr>
          <w:rFonts w:hint="eastAsia" w:ascii="黑体" w:hAnsi="黑体" w:eastAsia="黑体"/>
          <w:b/>
          <w:sz w:val="32"/>
          <w:szCs w:val="32"/>
        </w:rPr>
        <w:t>第二章</w:t>
      </w:r>
      <w:r>
        <w:rPr>
          <w:rFonts w:ascii="黑体" w:hAnsi="黑体" w:eastAsia="黑体"/>
          <w:b/>
          <w:sz w:val="32"/>
          <w:szCs w:val="32"/>
        </w:rPr>
        <w:t xml:space="preserve"> </w:t>
      </w:r>
      <w:r>
        <w:rPr>
          <w:rFonts w:hint="eastAsia" w:ascii="黑体" w:hAnsi="黑体" w:eastAsia="黑体"/>
          <w:b/>
          <w:sz w:val="32"/>
          <w:szCs w:val="32"/>
        </w:rPr>
        <w:t>公司债券申报材料简化安排</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第四条</w:t>
      </w:r>
      <w:r>
        <w:rPr>
          <w:rFonts w:ascii="仿宋_GB2312" w:hAnsi="黑体" w:eastAsia="仿宋_GB2312"/>
          <w:b/>
          <w:sz w:val="32"/>
          <w:szCs w:val="32"/>
        </w:rPr>
        <w:t xml:space="preserve"> </w:t>
      </w:r>
      <w:r>
        <w:rPr>
          <w:rFonts w:hint="eastAsia" w:ascii="仿宋_GB2312" w:hAnsi="黑体" w:eastAsia="仿宋_GB2312"/>
          <w:sz w:val="32"/>
          <w:szCs w:val="32"/>
        </w:rPr>
        <w:t>优质发行人可以按照本章规定，合并编制、简化编制申报发行材料，或者豁免提供部分申请文件。</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第五条</w:t>
      </w:r>
      <w:r>
        <w:rPr>
          <w:rFonts w:ascii="仿宋_GB2312" w:hAnsi="黑体" w:eastAsia="仿宋_GB2312"/>
          <w:b/>
          <w:sz w:val="32"/>
          <w:szCs w:val="32"/>
        </w:rPr>
        <w:t xml:space="preserve"> </w:t>
      </w:r>
      <w:r>
        <w:rPr>
          <w:rFonts w:hint="eastAsia" w:ascii="仿宋_GB2312" w:hAnsi="黑体" w:eastAsia="仿宋_GB2312"/>
          <w:sz w:val="32"/>
          <w:szCs w:val="32"/>
        </w:rPr>
        <w:t>优质发行人或者主承销商可以按照下列方式合并编制申报发行材料，具体包括以下文件：</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（一）发行人及主承销商可以合并编制关于申请电子文件与预留文件一致的承诺函、关于准确填报发行申请材料的承诺函（格式见附件</w:t>
      </w:r>
      <w:r>
        <w:rPr>
          <w:rFonts w:ascii="仿宋_GB2312" w:hAnsi="黑体" w:eastAsia="仿宋_GB2312"/>
          <w:sz w:val="32"/>
          <w:szCs w:val="32"/>
        </w:rPr>
        <w:t>1）。</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（二）主承销商可以在主承销商核查意见中，以单独章节列示《上海证券交易所公司债券发行上市审核规则适用指引第</w:t>
      </w:r>
      <w:r>
        <w:rPr>
          <w:rFonts w:ascii="仿宋_GB2312" w:hAnsi="黑体" w:eastAsia="仿宋_GB2312"/>
          <w:sz w:val="32"/>
          <w:szCs w:val="32"/>
        </w:rPr>
        <w:t>1号——申请文件及编制》（以下简称《公司债券指引第1号》）</w:t>
      </w:r>
      <w:r>
        <w:rPr>
          <w:rFonts w:hint="eastAsia" w:ascii="仿宋_GB2312" w:hAnsi="黑体" w:eastAsia="仿宋_GB2312"/>
          <w:sz w:val="32"/>
          <w:szCs w:val="32"/>
        </w:rPr>
        <w:t>第</w:t>
      </w:r>
      <w:r>
        <w:rPr>
          <w:rFonts w:ascii="仿宋_GB2312" w:hAnsi="黑体" w:eastAsia="仿宋_GB2312"/>
          <w:sz w:val="32"/>
          <w:szCs w:val="32"/>
        </w:rPr>
        <w:t>2.2</w:t>
      </w:r>
      <w:r>
        <w:rPr>
          <w:rFonts w:hint="eastAsia" w:ascii="仿宋_GB2312" w:hAnsi="黑体" w:eastAsia="仿宋_GB2312"/>
          <w:sz w:val="32"/>
          <w:szCs w:val="32"/>
        </w:rPr>
        <w:t>条规定的发行人诚信信息查询情况表，《上海证券交易所公司债券发行上市审核规则适用指引第</w:t>
      </w:r>
      <w:r>
        <w:rPr>
          <w:rFonts w:ascii="仿宋_GB2312" w:hAnsi="黑体" w:eastAsia="仿宋_GB2312"/>
          <w:sz w:val="32"/>
          <w:szCs w:val="32"/>
        </w:rPr>
        <w:t>3号——审核重点关注事项》第五十一条、第五十三条</w:t>
      </w:r>
      <w:r>
        <w:rPr>
          <w:rFonts w:hint="eastAsia" w:ascii="仿宋_GB2312" w:hAnsi="黑体" w:eastAsia="仿宋_GB2312"/>
          <w:sz w:val="32"/>
          <w:szCs w:val="32"/>
        </w:rPr>
        <w:t>规定的</w:t>
      </w:r>
      <w:r>
        <w:rPr>
          <w:rFonts w:ascii="仿宋_GB2312" w:hAnsi="黑体" w:eastAsia="仿宋_GB2312"/>
          <w:sz w:val="32"/>
          <w:szCs w:val="32"/>
        </w:rPr>
        <w:t>《主承销商关注事项核查对照表》、承销机构及项目负责人近两年内承销债券违约情况，</w:t>
      </w:r>
      <w:r>
        <w:rPr>
          <w:rFonts w:hint="eastAsia" w:ascii="仿宋_GB2312" w:hAnsi="黑体" w:eastAsia="仿宋_GB2312"/>
          <w:sz w:val="32"/>
          <w:szCs w:val="32"/>
        </w:rPr>
        <w:t>无需单独</w:t>
      </w:r>
      <w:r>
        <w:rPr>
          <w:rFonts w:ascii="仿宋_GB2312" w:hAnsi="黑体" w:eastAsia="仿宋_GB2312"/>
          <w:sz w:val="32"/>
          <w:szCs w:val="32"/>
        </w:rPr>
        <w:t>编制相关文件。</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第六条</w:t>
      </w:r>
      <w:r>
        <w:rPr>
          <w:rFonts w:ascii="仿宋_GB2312" w:hAnsi="黑体" w:eastAsia="仿宋_GB2312"/>
          <w:b/>
          <w:sz w:val="32"/>
          <w:szCs w:val="32"/>
        </w:rPr>
        <w:t xml:space="preserve"> </w:t>
      </w:r>
      <w:r>
        <w:rPr>
          <w:rFonts w:hint="eastAsia" w:ascii="仿宋_GB2312" w:hAnsi="黑体" w:eastAsia="仿宋_GB2312"/>
          <w:sz w:val="32"/>
          <w:szCs w:val="32"/>
        </w:rPr>
        <w:t>知名成熟发行人申请发行公司债券的，可以按照简化格式编制公开发行公司债券发行并上市申请、</w:t>
      </w:r>
      <w:r>
        <w:rPr>
          <w:rFonts w:ascii="仿宋_GB2312" w:hAnsi="黑体" w:eastAsia="仿宋_GB2312"/>
          <w:sz w:val="32"/>
          <w:szCs w:val="32"/>
        </w:rPr>
        <w:t>非公开发行公司债券挂牌转让申请</w:t>
      </w:r>
      <w:r>
        <w:rPr>
          <w:rFonts w:hint="eastAsia" w:ascii="仿宋_GB2312" w:hAnsi="黑体" w:eastAsia="仿宋_GB2312"/>
          <w:sz w:val="32"/>
          <w:szCs w:val="32"/>
        </w:rPr>
        <w:t>（格式见附件</w:t>
      </w:r>
      <w:r>
        <w:rPr>
          <w:rFonts w:ascii="仿宋_GB2312" w:hAnsi="黑体" w:eastAsia="仿宋_GB2312"/>
          <w:sz w:val="32"/>
          <w:szCs w:val="32"/>
        </w:rPr>
        <w:t>2</w:t>
      </w:r>
      <w:r>
        <w:rPr>
          <w:rFonts w:hint="eastAsia" w:ascii="仿宋_GB2312" w:hAnsi="黑体" w:eastAsia="仿宋_GB2312"/>
          <w:sz w:val="32"/>
          <w:szCs w:val="32"/>
        </w:rPr>
        <w:t>、附件</w:t>
      </w:r>
      <w:r>
        <w:rPr>
          <w:rFonts w:ascii="仿宋_GB2312" w:hAnsi="黑体" w:eastAsia="仿宋_GB2312"/>
          <w:sz w:val="32"/>
          <w:szCs w:val="32"/>
        </w:rPr>
        <w:t>3</w:t>
      </w:r>
      <w:r>
        <w:rPr>
          <w:rFonts w:hint="eastAsia" w:ascii="仿宋_GB2312" w:hAnsi="黑体" w:eastAsia="仿宋_GB2312"/>
          <w:sz w:val="32"/>
          <w:szCs w:val="32"/>
        </w:rPr>
        <w:t>）</w:t>
      </w:r>
      <w:r>
        <w:rPr>
          <w:rFonts w:ascii="仿宋_GB2312" w:hAnsi="黑体" w:eastAsia="仿宋_GB2312"/>
          <w:sz w:val="32"/>
          <w:szCs w:val="32"/>
        </w:rPr>
        <w:t>。</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第七条</w:t>
      </w:r>
      <w:r>
        <w:rPr>
          <w:rFonts w:ascii="仿宋_GB2312" w:hAnsi="黑体" w:eastAsia="仿宋_GB2312"/>
          <w:b/>
          <w:sz w:val="32"/>
          <w:szCs w:val="32"/>
        </w:rPr>
        <w:t xml:space="preserve"> </w:t>
      </w:r>
      <w:r>
        <w:rPr>
          <w:rFonts w:hint="eastAsia" w:ascii="仿宋_GB2312" w:hAnsi="黑体" w:eastAsia="仿宋_GB2312"/>
          <w:sz w:val="32"/>
          <w:szCs w:val="32"/>
        </w:rPr>
        <w:t>知名成熟发行人可以豁免提供下列申请文件：</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（一）在申报阶段尚未明确募集资金具体使用安排的，无需提供募集资金投向有关文件。</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（二）豁免提供</w:t>
      </w:r>
      <w:r>
        <w:rPr>
          <w:rFonts w:ascii="仿宋_GB2312" w:hAnsi="黑体" w:eastAsia="仿宋_GB2312"/>
          <w:sz w:val="32"/>
          <w:szCs w:val="32"/>
        </w:rPr>
        <w:t>5-15</w:t>
      </w:r>
      <w:r>
        <w:rPr>
          <w:rFonts w:hint="eastAsia" w:ascii="仿宋_GB2312" w:hAnsi="黑体" w:eastAsia="仿宋_GB2312"/>
          <w:sz w:val="32"/>
          <w:szCs w:val="32"/>
        </w:rPr>
        <w:t>主要财务指标表、</w:t>
      </w:r>
      <w:r>
        <w:rPr>
          <w:rFonts w:ascii="仿宋_GB2312" w:hAnsi="黑体" w:eastAsia="仿宋_GB2312"/>
          <w:sz w:val="32"/>
          <w:szCs w:val="32"/>
        </w:rPr>
        <w:t>5-16联系表、5-20情况说明等文件。</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第八条</w:t>
      </w:r>
      <w:r>
        <w:rPr>
          <w:rFonts w:ascii="仿宋_GB2312" w:hAnsi="黑体" w:eastAsia="仿宋_GB2312"/>
          <w:b/>
          <w:sz w:val="32"/>
          <w:szCs w:val="32"/>
        </w:rPr>
        <w:t xml:space="preserve"> </w:t>
      </w:r>
      <w:r>
        <w:rPr>
          <w:rFonts w:hint="eastAsia" w:ascii="仿宋_GB2312" w:hAnsi="黑体" w:eastAsia="仿宋_GB2312"/>
          <w:sz w:val="32"/>
          <w:szCs w:val="32"/>
        </w:rPr>
        <w:t>优质发行人可以适当简化申报发行材料签章文件。发行人董事、监事和高级管理人员已对发行申请文件真实性、准确性和完整性签署确认意见的，可以将确认意见作为募集说明书的后附文件，无需另行对募集说明书签署书面确认意见。</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发行人董事、监事、高级管理人员在债券项目申请阶段按照规定对债券发行文件签署书面确认意见，并于确认意见中承诺认可各期发行文件、履行规定职责的，每期债券发行前无需另行签署书面确认意见。</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董事、监事、高级管理人员或履行同等职责的人员不能保证所披露的信息真实、准确、完整或者有异议的，不适用本条前两款的规定。</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第九条</w:t>
      </w:r>
      <w:r>
        <w:rPr>
          <w:rFonts w:ascii="仿宋_GB2312" w:hAnsi="黑体" w:eastAsia="仿宋_GB2312"/>
          <w:b/>
          <w:sz w:val="32"/>
          <w:szCs w:val="32"/>
        </w:rPr>
        <w:t xml:space="preserve"> </w:t>
      </w:r>
      <w:r>
        <w:rPr>
          <w:rFonts w:hint="eastAsia" w:ascii="仿宋_GB2312" w:hAnsi="黑体" w:eastAsia="仿宋_GB2312"/>
          <w:sz w:val="32"/>
          <w:szCs w:val="32"/>
        </w:rPr>
        <w:t>优质发行人或者</w:t>
      </w:r>
      <w:r>
        <w:rPr>
          <w:rFonts w:ascii="仿宋_GB2312" w:hAnsi="黑体" w:eastAsia="仿宋_GB2312"/>
          <w:sz w:val="32"/>
          <w:szCs w:val="32"/>
        </w:rPr>
        <w:t>符合国家战略导向的</w:t>
      </w:r>
      <w:r>
        <w:rPr>
          <w:rFonts w:hint="eastAsia" w:ascii="仿宋_GB2312" w:hAnsi="黑体" w:eastAsia="仿宋_GB2312"/>
          <w:sz w:val="32"/>
          <w:szCs w:val="32"/>
        </w:rPr>
        <w:t>专项债券发行人的</w:t>
      </w:r>
      <w:r>
        <w:rPr>
          <w:rFonts w:ascii="仿宋_GB2312" w:hAnsi="黑体" w:eastAsia="仿宋_GB2312"/>
          <w:sz w:val="32"/>
          <w:szCs w:val="32"/>
        </w:rPr>
        <w:t>申报文件因特殊原因暂时不</w:t>
      </w:r>
      <w:r>
        <w:rPr>
          <w:rFonts w:hint="eastAsia" w:ascii="仿宋_GB2312" w:hAnsi="黑体" w:eastAsia="仿宋_GB2312"/>
          <w:sz w:val="32"/>
          <w:szCs w:val="32"/>
        </w:rPr>
        <w:t>能提供</w:t>
      </w:r>
      <w:r>
        <w:rPr>
          <w:rFonts w:ascii="仿宋_GB2312" w:hAnsi="黑体" w:eastAsia="仿宋_GB2312"/>
          <w:sz w:val="32"/>
          <w:szCs w:val="32"/>
        </w:rPr>
        <w:t>或缺少部分签章的，</w:t>
      </w:r>
      <w:r>
        <w:rPr>
          <w:rFonts w:hint="eastAsia" w:ascii="仿宋_GB2312" w:hAnsi="黑体" w:eastAsia="仿宋_GB2312"/>
          <w:sz w:val="32"/>
          <w:szCs w:val="32"/>
        </w:rPr>
        <w:t>经发行人书面说明具体情况，</w:t>
      </w:r>
      <w:r>
        <w:rPr>
          <w:rFonts w:ascii="仿宋_GB2312" w:hAnsi="黑体" w:eastAsia="仿宋_GB2312"/>
          <w:sz w:val="32"/>
          <w:szCs w:val="32"/>
        </w:rPr>
        <w:t>本所</w:t>
      </w:r>
      <w:r>
        <w:rPr>
          <w:rFonts w:hint="eastAsia" w:ascii="仿宋_GB2312" w:hAnsi="黑体" w:eastAsia="仿宋_GB2312"/>
          <w:sz w:val="32"/>
          <w:szCs w:val="32"/>
        </w:rPr>
        <w:t>可以视情况</w:t>
      </w:r>
      <w:r>
        <w:rPr>
          <w:rFonts w:ascii="仿宋_GB2312" w:hAnsi="黑体" w:eastAsia="仿宋_GB2312"/>
          <w:sz w:val="32"/>
          <w:szCs w:val="32"/>
        </w:rPr>
        <w:t>优化受理，提升融资效率。</w:t>
      </w:r>
      <w:r>
        <w:rPr>
          <w:rFonts w:hint="eastAsia" w:ascii="仿宋_GB2312" w:hAnsi="黑体" w:eastAsia="仿宋_GB2312"/>
          <w:sz w:val="32"/>
          <w:szCs w:val="32"/>
        </w:rPr>
        <w:t>但是，</w:t>
      </w:r>
      <w:r>
        <w:rPr>
          <w:rFonts w:ascii="仿宋_GB2312" w:hAnsi="黑体" w:eastAsia="仿宋_GB2312"/>
          <w:sz w:val="32"/>
          <w:szCs w:val="32"/>
        </w:rPr>
        <w:t>对本次债券的发行</w:t>
      </w:r>
      <w:r>
        <w:rPr>
          <w:rFonts w:hint="eastAsia" w:ascii="仿宋_GB2312" w:hAnsi="黑体" w:eastAsia="仿宋_GB2312"/>
          <w:sz w:val="32"/>
          <w:szCs w:val="32"/>
        </w:rPr>
        <w:t>上市</w:t>
      </w:r>
      <w:r>
        <w:rPr>
          <w:rFonts w:ascii="仿宋_GB2312" w:hAnsi="黑体" w:eastAsia="仿宋_GB2312"/>
          <w:sz w:val="32"/>
          <w:szCs w:val="32"/>
        </w:rPr>
        <w:t>条件或挂牌条件、本次债券发行的合规性</w:t>
      </w:r>
      <w:r>
        <w:rPr>
          <w:rFonts w:hint="eastAsia" w:ascii="仿宋_GB2312" w:hAnsi="黑体" w:eastAsia="仿宋_GB2312"/>
          <w:sz w:val="32"/>
          <w:szCs w:val="32"/>
        </w:rPr>
        <w:t>具有</w:t>
      </w:r>
      <w:r>
        <w:rPr>
          <w:rFonts w:ascii="仿宋_GB2312" w:hAnsi="黑体" w:eastAsia="仿宋_GB2312"/>
          <w:sz w:val="32"/>
          <w:szCs w:val="32"/>
        </w:rPr>
        <w:t>实质性影响的文件除外。</w:t>
      </w:r>
    </w:p>
    <w:p>
      <w:pPr>
        <w:adjustRightInd w:val="0"/>
        <w:snapToGrid w:val="0"/>
        <w:spacing w:line="560" w:lineRule="exact"/>
        <w:jc w:val="center"/>
        <w:rPr>
          <w:rFonts w:ascii="黑体" w:hAnsi="黑体" w:eastAsia="黑体"/>
          <w:b/>
          <w:sz w:val="32"/>
          <w:szCs w:val="32"/>
        </w:rPr>
      </w:pPr>
      <w:r>
        <w:rPr>
          <w:rFonts w:hint="eastAsia" w:ascii="黑体" w:hAnsi="黑体" w:eastAsia="黑体"/>
          <w:b/>
          <w:sz w:val="32"/>
          <w:szCs w:val="32"/>
        </w:rPr>
        <w:t>第三章</w:t>
      </w:r>
      <w:r>
        <w:rPr>
          <w:rFonts w:ascii="黑体" w:hAnsi="黑体" w:eastAsia="黑体"/>
          <w:b/>
          <w:sz w:val="32"/>
          <w:szCs w:val="32"/>
        </w:rPr>
        <w:t xml:space="preserve"> </w:t>
      </w:r>
      <w:r>
        <w:rPr>
          <w:rFonts w:hint="eastAsia" w:ascii="黑体" w:hAnsi="黑体" w:eastAsia="黑体"/>
          <w:b/>
          <w:sz w:val="32"/>
          <w:szCs w:val="32"/>
        </w:rPr>
        <w:t>公司债券申报发行信息披露简明安排</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第十条</w:t>
      </w:r>
      <w:r>
        <w:rPr>
          <w:rFonts w:ascii="仿宋_GB2312" w:hAnsi="黑体" w:eastAsia="仿宋_GB2312"/>
          <w:b/>
          <w:sz w:val="32"/>
          <w:szCs w:val="32"/>
        </w:rPr>
        <w:t xml:space="preserve"> </w:t>
      </w:r>
      <w:r>
        <w:rPr>
          <w:rFonts w:hint="eastAsia" w:ascii="仿宋_GB2312" w:hAnsi="黑体" w:eastAsia="仿宋_GB2312"/>
          <w:sz w:val="32"/>
          <w:szCs w:val="32"/>
        </w:rPr>
        <w:t>优质发行人可以按照重要性、针对性、简明通俗性原则，适当简化募集说明书部分章节信息披露，以图表、总结性语言等直观、清晰的方式披露关键事项。</w:t>
      </w:r>
    </w:p>
    <w:p>
      <w:pPr>
        <w:adjustRightInd w:val="0"/>
        <w:snapToGrid w:val="0"/>
        <w:spacing w:line="560" w:lineRule="exact"/>
        <w:ind w:firstLine="642" w:firstLineChars="200"/>
        <w:rPr>
          <w:rFonts w:ascii="仿宋_GB2312" w:hAnsi="黑体" w:eastAsia="仿宋_GB2312"/>
          <w:sz w:val="30"/>
          <w:szCs w:val="30"/>
        </w:rPr>
      </w:pPr>
      <w:r>
        <w:rPr>
          <w:rFonts w:hint="eastAsia" w:ascii="仿宋_GB2312" w:hAnsi="黑体" w:eastAsia="仿宋_GB2312"/>
          <w:b/>
          <w:sz w:val="32"/>
          <w:szCs w:val="32"/>
        </w:rPr>
        <w:t>第十一条</w:t>
      </w:r>
      <w:r>
        <w:rPr>
          <w:rFonts w:ascii="仿宋_GB2312" w:hAnsi="黑体" w:eastAsia="仿宋_GB2312"/>
          <w:b/>
          <w:sz w:val="32"/>
          <w:szCs w:val="32"/>
        </w:rPr>
        <w:t xml:space="preserve"> </w:t>
      </w:r>
      <w:r>
        <w:rPr>
          <w:rFonts w:hint="eastAsia" w:ascii="仿宋_GB2312" w:hAnsi="黑体" w:eastAsia="仿宋_GB2312"/>
          <w:sz w:val="32"/>
          <w:szCs w:val="32"/>
        </w:rPr>
        <w:t>优质发行人经营和财务情况无重大不利变化或不存在对偿债能力产生重大影响事项的，可参考如下方式适当简化募集说明书中“募集资金运用”“发行人基本情况”“发行人主要财务情况”“发行人信用状况”等章节（格式见附件</w:t>
      </w:r>
      <w:r>
        <w:rPr>
          <w:rFonts w:ascii="仿宋_GB2312" w:hAnsi="黑体" w:eastAsia="仿宋_GB2312"/>
          <w:sz w:val="32"/>
          <w:szCs w:val="32"/>
        </w:rPr>
        <w:t>4）信息披露；但是，首次申请公开发行公司信用类债券的发行人除外。</w:t>
      </w:r>
    </w:p>
    <w:tbl>
      <w:tblPr>
        <w:tblStyle w:val="11"/>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4253"/>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84" w:type="dxa"/>
            <w:vAlign w:val="center"/>
          </w:tcPr>
          <w:p>
            <w:pPr>
              <w:adjustRightInd w:val="0"/>
              <w:snapToGrid w:val="0"/>
              <w:jc w:val="center"/>
              <w:rPr>
                <w:rFonts w:ascii="仿宋_GB2312" w:hAnsi="黑体" w:eastAsia="仿宋_GB2312"/>
                <w:szCs w:val="21"/>
              </w:rPr>
            </w:pPr>
            <w:r>
              <w:rPr>
                <w:rFonts w:hint="eastAsia" w:ascii="仿宋_GB2312" w:hAnsi="宋体" w:eastAsia="仿宋_GB2312" w:cs="宋体"/>
                <w:b/>
                <w:bCs/>
                <w:color w:val="000000"/>
                <w:kern w:val="0"/>
                <w:szCs w:val="21"/>
              </w:rPr>
              <w:t>规则及条款号</w:t>
            </w:r>
          </w:p>
        </w:tc>
        <w:tc>
          <w:tcPr>
            <w:tcW w:w="4253" w:type="dxa"/>
            <w:vAlign w:val="center"/>
          </w:tcPr>
          <w:p>
            <w:pPr>
              <w:adjustRightInd w:val="0"/>
              <w:snapToGrid w:val="0"/>
              <w:jc w:val="center"/>
              <w:rPr>
                <w:rFonts w:ascii="仿宋_GB2312" w:hAnsi="黑体" w:eastAsia="仿宋_GB2312"/>
                <w:szCs w:val="21"/>
              </w:rPr>
            </w:pPr>
            <w:r>
              <w:rPr>
                <w:rFonts w:hint="eastAsia" w:ascii="仿宋_GB2312" w:hAnsi="宋体" w:eastAsia="仿宋_GB2312" w:cs="宋体"/>
                <w:b/>
                <w:bCs/>
                <w:color w:val="000000"/>
                <w:kern w:val="0"/>
                <w:szCs w:val="21"/>
              </w:rPr>
              <w:t>规则具体要求</w:t>
            </w:r>
          </w:p>
        </w:tc>
        <w:tc>
          <w:tcPr>
            <w:tcW w:w="3402" w:type="dxa"/>
            <w:vAlign w:val="center"/>
          </w:tcPr>
          <w:p>
            <w:pPr>
              <w:adjustRightInd w:val="0"/>
              <w:snapToGrid w:val="0"/>
              <w:jc w:val="center"/>
              <w:rPr>
                <w:rFonts w:ascii="仿宋_GB2312" w:hAnsi="黑体" w:eastAsia="仿宋_GB2312"/>
                <w:szCs w:val="21"/>
              </w:rPr>
            </w:pPr>
            <w:r>
              <w:rPr>
                <w:rFonts w:hint="eastAsia" w:ascii="仿宋_GB2312" w:hAnsi="宋体" w:eastAsia="仿宋_GB2312" w:cs="宋体"/>
                <w:b/>
                <w:bCs/>
                <w:color w:val="000000"/>
                <w:kern w:val="0"/>
                <w:szCs w:val="21"/>
              </w:rPr>
              <w:t>简化信息披露安排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第三章</w:t>
            </w:r>
            <w:r>
              <w:rPr>
                <w:rFonts w:ascii="仿宋_GB2312" w:hAnsi="黑体" w:eastAsia="仿宋_GB2312"/>
                <w:szCs w:val="21"/>
              </w:rPr>
              <w:t xml:space="preserve"> 募集说明书编制要求</w:t>
            </w:r>
            <w:r>
              <w:rPr>
                <w:rFonts w:hint="eastAsia" w:ascii="仿宋_GB2312" w:hAnsi="黑体" w:eastAsia="仿宋_GB2312"/>
                <w:szCs w:val="21"/>
              </w:rPr>
              <w:t>第六节</w:t>
            </w:r>
            <w:r>
              <w:rPr>
                <w:rFonts w:ascii="仿宋_GB2312" w:hAnsi="黑体" w:eastAsia="仿宋_GB2312"/>
                <w:szCs w:val="21"/>
              </w:rPr>
              <w:t xml:space="preserve"> 发行人基本情况3.6.2</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发行人应当以主要实体的承继关系为主线，简要披露发行人设立、历史沿革、经历的改制重组情况及股本结构的历次变动情况；披露历史上改制、重大增减资、合并、分立、破产重整及更名等代表发行人阶段性进程的重要事件。</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可以列表形式汇总披露代表企业阶段性进程的重要事件，针对性披露对发行人偿债能力存在重大不利影响的事件。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restart"/>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第三章</w:t>
            </w:r>
            <w:r>
              <w:rPr>
                <w:rFonts w:ascii="仿宋_GB2312" w:hAnsi="黑体" w:eastAsia="仿宋_GB2312"/>
                <w:szCs w:val="21"/>
              </w:rPr>
              <w:t xml:space="preserve"> 募集说明书编制要求第六节 发行人基本情况3.6.5</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发行人应当简要披露治理结构、组织机构设置及运行情况，财务管理、关联交易、信息披露事务相关安排等内部管理制度的建立及运行情况。</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原则上</w:t>
            </w:r>
            <w:r>
              <w:rPr>
                <w:rFonts w:hint="eastAsia" w:ascii="仿宋_GB2312" w:hAnsi="宋体" w:eastAsia="仿宋_GB2312" w:cs="宋体"/>
                <w:color w:val="000000"/>
                <w:kern w:val="0"/>
                <w:szCs w:val="21"/>
              </w:rPr>
              <w:t>可以组织结构图形式披露治理结构、组织机构设置，</w:t>
            </w:r>
            <w:r>
              <w:rPr>
                <w:rFonts w:hint="eastAsia" w:ascii="仿宋_GB2312" w:hAnsi="黑体" w:eastAsia="仿宋_GB2312"/>
                <w:szCs w:val="21"/>
              </w:rPr>
              <w:t>结论性披露前述机制设置和运行情况，针对性披露前述机制存在特殊或运行异常情况。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Merge w:val="continue"/>
            <w:vAlign w:val="center"/>
          </w:tcPr>
          <w:p>
            <w:pPr>
              <w:adjustRightInd w:val="0"/>
              <w:snapToGrid w:val="0"/>
              <w:rPr>
                <w:rFonts w:ascii="仿宋_GB2312" w:hAnsi="黑体" w:eastAsia="仿宋_GB2312"/>
                <w:szCs w:val="21"/>
              </w:rPr>
            </w:pPr>
          </w:p>
        </w:tc>
        <w:tc>
          <w:tcPr>
            <w:tcW w:w="4253"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发行人应当披露与控股股东、实际控制人之间在资产、人员、机构、财务、业务经营等方面的相互独立情况。</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原则上可以结论性披露前述情况。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第三章</w:t>
            </w:r>
            <w:r>
              <w:rPr>
                <w:rFonts w:ascii="仿宋_GB2312" w:hAnsi="黑体" w:eastAsia="仿宋_GB2312"/>
                <w:szCs w:val="21"/>
              </w:rPr>
              <w:t xml:space="preserve"> 募集说明书编制要求第六节 发行人基本情况3.6.6</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发行人应当列表披露现任董事、监事、高级管理人员的基本情况，至少包括姓名、现任职务及任期（如有）等，并对董事、监事、高级管理人员设置是否符合《公司法》等相关法律法规及公司章程要求进行说明。</w:t>
            </w:r>
          </w:p>
          <w:p>
            <w:pPr>
              <w:adjustRightInd w:val="0"/>
              <w:snapToGrid w:val="0"/>
              <w:rPr>
                <w:rFonts w:ascii="仿宋_GB2312" w:hAnsi="黑体" w:eastAsia="仿宋_GB2312"/>
                <w:szCs w:val="21"/>
              </w:rPr>
            </w:pPr>
            <w:r>
              <w:rPr>
                <w:rFonts w:hint="eastAsia" w:ascii="仿宋_GB2312" w:hAnsi="黑体" w:eastAsia="仿宋_GB2312"/>
                <w:szCs w:val="21"/>
              </w:rPr>
              <w:t>发行人董事、监事、高级管理人员涉嫌重大违纪违法处理的，发行人应当充分说明并披露相关事项。</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原则上可不披露现任董事、监事、高级管理人员的简历。针对性披露发行人董事、监事、高级管理人员涉嫌重大违纪违法情况。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1号》第三章 募集说明书编制要求第七节 发行人主要财务情况3.7.</w:t>
            </w:r>
            <w:r>
              <w:rPr>
                <w:rFonts w:hint="eastAsia" w:ascii="仿宋_GB2312" w:hAnsi="黑体" w:eastAsia="仿宋_GB2312"/>
                <w:szCs w:val="21"/>
              </w:rPr>
              <w:t>2</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发行人应当披露近三年及近一期财务会计信息及主要财务指标</w:t>
            </w:r>
            <w:r>
              <w:rPr>
                <w:rFonts w:hint="eastAsia" w:ascii="仿宋_GB2312" w:hAnsi="黑体" w:eastAsia="仿宋_GB2312"/>
                <w:szCs w:val="21"/>
              </w:rPr>
              <w:t>……</w:t>
            </w:r>
            <w:r>
              <w:rPr>
                <w:rFonts w:ascii="仿宋_GB2312" w:hAnsi="黑体" w:eastAsia="仿宋_GB2312"/>
                <w:szCs w:val="21"/>
              </w:rPr>
              <w:t>财务指标包括但不限于偿债能力指标、盈利能力指标、运营效率指标。发行人对可能影响投资者理解公司财务状况、经营业绩和现金流量情况等信息，应当加以说明。</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发行人可以按照附件2、3中主要财务数据和财务指标表的格式进行简要披露。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第三章</w:t>
            </w:r>
            <w:r>
              <w:rPr>
                <w:rFonts w:ascii="仿宋_GB2312" w:hAnsi="黑体" w:eastAsia="仿宋_GB2312"/>
                <w:szCs w:val="21"/>
              </w:rPr>
              <w:t xml:space="preserve"> 募集说明书编制要求</w:t>
            </w:r>
            <w:r>
              <w:rPr>
                <w:rFonts w:hint="eastAsia" w:ascii="仿宋_GB2312" w:hAnsi="黑体" w:eastAsia="仿宋_GB2312"/>
                <w:szCs w:val="21"/>
              </w:rPr>
              <w:t>第八节</w:t>
            </w:r>
            <w:r>
              <w:rPr>
                <w:rFonts w:ascii="仿宋_GB2312" w:hAnsi="黑体" w:eastAsia="仿宋_GB2312"/>
                <w:szCs w:val="21"/>
              </w:rPr>
              <w:t xml:space="preserve"> 发行人信用状况3.8.2</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发行人应当披露下列与发行人有关的信用情况:</w:t>
            </w:r>
          </w:p>
          <w:p>
            <w:pPr>
              <w:adjustRightInd w:val="0"/>
              <w:snapToGrid w:val="0"/>
              <w:rPr>
                <w:rFonts w:ascii="仿宋_GB2312" w:hAnsi="黑体" w:eastAsia="仿宋_GB2312"/>
                <w:szCs w:val="21"/>
              </w:rPr>
            </w:pPr>
            <w:r>
              <w:rPr>
                <w:rFonts w:hint="eastAsia" w:ascii="仿宋_GB2312" w:hAnsi="黑体" w:eastAsia="仿宋_GB2312"/>
                <w:szCs w:val="21"/>
              </w:rPr>
              <w:t>（一）发行人获得主要贷款银行的授信情况及使用情况。</w:t>
            </w:r>
          </w:p>
          <w:p>
            <w:pPr>
              <w:adjustRightInd w:val="0"/>
              <w:snapToGrid w:val="0"/>
              <w:rPr>
                <w:rFonts w:ascii="仿宋_GB2312" w:hAnsi="黑体" w:eastAsia="仿宋_GB2312"/>
                <w:szCs w:val="21"/>
              </w:rPr>
            </w:pPr>
            <w:r>
              <w:rPr>
                <w:rFonts w:hint="eastAsia" w:ascii="仿宋_GB2312" w:hAnsi="黑体" w:eastAsia="仿宋_GB2312"/>
                <w:szCs w:val="21"/>
              </w:rPr>
              <w:t>……</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近一期较最近一个会计年度期末无重大变化的，授信情况原则上可披露至最近一个会计年度期末的情况。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附件</w:t>
            </w:r>
            <w:r>
              <w:rPr>
                <w:rFonts w:ascii="仿宋_GB2312" w:hAnsi="黑体" w:eastAsia="仿宋_GB2312"/>
                <w:szCs w:val="21"/>
              </w:rPr>
              <w:t>5：募集说明书—募集资金运用（参考文本）</w:t>
            </w:r>
          </w:p>
        </w:tc>
        <w:tc>
          <w:tcPr>
            <w:tcW w:w="4253"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六、募集资金运用对发行人财务状况的影响</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原则上可豁免披露。</w:t>
            </w:r>
          </w:p>
        </w:tc>
      </w:tr>
    </w:tbl>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第十二条</w:t>
      </w:r>
      <w:r>
        <w:rPr>
          <w:rFonts w:ascii="仿宋_GB2312" w:hAnsi="黑体" w:eastAsia="仿宋_GB2312"/>
          <w:b/>
          <w:sz w:val="32"/>
          <w:szCs w:val="32"/>
        </w:rPr>
        <w:t xml:space="preserve"> </w:t>
      </w:r>
      <w:r>
        <w:rPr>
          <w:rFonts w:hint="eastAsia" w:ascii="仿宋_GB2312" w:hAnsi="黑体" w:eastAsia="仿宋_GB2312"/>
          <w:sz w:val="32"/>
          <w:szCs w:val="32"/>
        </w:rPr>
        <w:t>优质发行人非公开发行公司债券的，除适用本指南第十一条的规定外，还可以参考如下方式简化募集说明书中“发行人基本情况”“发行人主要财务情况”等章节信息披露。</w:t>
      </w:r>
    </w:p>
    <w:tbl>
      <w:tblPr>
        <w:tblStyle w:val="11"/>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4253"/>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384" w:type="dxa"/>
            <w:vAlign w:val="center"/>
          </w:tcPr>
          <w:p>
            <w:pPr>
              <w:adjustRightInd w:val="0"/>
              <w:snapToGrid w:val="0"/>
              <w:jc w:val="center"/>
              <w:rPr>
                <w:rFonts w:ascii="仿宋_GB2312" w:hAnsi="黑体" w:eastAsia="仿宋_GB2312"/>
                <w:szCs w:val="21"/>
              </w:rPr>
            </w:pPr>
            <w:r>
              <w:rPr>
                <w:rFonts w:hint="eastAsia" w:ascii="仿宋_GB2312" w:hAnsi="宋体" w:eastAsia="仿宋_GB2312" w:cs="宋体"/>
                <w:b/>
                <w:bCs/>
                <w:color w:val="000000"/>
                <w:kern w:val="0"/>
                <w:szCs w:val="21"/>
              </w:rPr>
              <w:t>规则及条款号</w:t>
            </w:r>
          </w:p>
        </w:tc>
        <w:tc>
          <w:tcPr>
            <w:tcW w:w="4253" w:type="dxa"/>
            <w:vAlign w:val="center"/>
          </w:tcPr>
          <w:p>
            <w:pPr>
              <w:adjustRightInd w:val="0"/>
              <w:snapToGrid w:val="0"/>
              <w:jc w:val="center"/>
              <w:rPr>
                <w:rFonts w:ascii="仿宋_GB2312" w:hAnsi="黑体" w:eastAsia="仿宋_GB2312"/>
                <w:szCs w:val="21"/>
              </w:rPr>
            </w:pPr>
            <w:r>
              <w:rPr>
                <w:rFonts w:hint="eastAsia" w:ascii="仿宋_GB2312" w:hAnsi="宋体" w:eastAsia="仿宋_GB2312" w:cs="宋体"/>
                <w:b/>
                <w:bCs/>
                <w:color w:val="000000"/>
                <w:kern w:val="0"/>
                <w:szCs w:val="21"/>
              </w:rPr>
              <w:t>规则具体要求</w:t>
            </w:r>
          </w:p>
        </w:tc>
        <w:tc>
          <w:tcPr>
            <w:tcW w:w="3402" w:type="dxa"/>
            <w:vAlign w:val="center"/>
          </w:tcPr>
          <w:p>
            <w:pPr>
              <w:adjustRightInd w:val="0"/>
              <w:snapToGrid w:val="0"/>
              <w:jc w:val="center"/>
              <w:rPr>
                <w:rFonts w:ascii="仿宋_GB2312" w:hAnsi="黑体" w:eastAsia="仿宋_GB2312"/>
                <w:szCs w:val="21"/>
              </w:rPr>
            </w:pPr>
            <w:r>
              <w:rPr>
                <w:rFonts w:hint="eastAsia" w:ascii="仿宋_GB2312" w:hAnsi="宋体" w:eastAsia="仿宋_GB2312" w:cs="宋体"/>
                <w:b/>
                <w:bCs/>
                <w:color w:val="000000"/>
                <w:kern w:val="0"/>
                <w:szCs w:val="21"/>
              </w:rPr>
              <w:t>简化信息披露安排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第三章</w:t>
            </w:r>
            <w:r>
              <w:rPr>
                <w:rFonts w:ascii="仿宋_GB2312" w:hAnsi="黑体" w:eastAsia="仿宋_GB2312"/>
                <w:szCs w:val="21"/>
              </w:rPr>
              <w:t xml:space="preserve"> 募集说明书编制要求第六节 发行人基本情况3.6.4</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发行人应当披露对其他企业的重要权益投资情况，包括主要子公司以及其他有重要影响的参股公司、合营企业和联营企业等。</w:t>
            </w:r>
          </w:p>
          <w:p>
            <w:pPr>
              <w:adjustRightInd w:val="0"/>
              <w:snapToGrid w:val="0"/>
              <w:rPr>
                <w:rFonts w:ascii="仿宋_GB2312" w:hAnsi="黑体" w:eastAsia="仿宋_GB2312"/>
                <w:szCs w:val="21"/>
              </w:rPr>
            </w:pPr>
            <w:r>
              <w:rPr>
                <w:rFonts w:hint="eastAsia" w:ascii="仿宋_GB2312" w:hAnsi="黑体" w:eastAsia="仿宋_GB2312"/>
                <w:szCs w:val="21"/>
              </w:rPr>
              <w:t>发行人应当披露上述企业的基本情况、主营业务、近一年的主要财务数据（包括资产、负债、所有者权益、收入、净利润等）及其重大增减变动的情况及原因。</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报告期内，发行人重要的参股公司、合营企业和联营企业不存在对净利润造成重大不利影响的，原则上可以豁免披露上述企业的具体情况（持股比例高于50%的除外），格式参见附件4。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第三章</w:t>
            </w:r>
            <w:r>
              <w:rPr>
                <w:rFonts w:ascii="仿宋_GB2312" w:hAnsi="黑体" w:eastAsia="仿宋_GB2312"/>
                <w:szCs w:val="21"/>
              </w:rPr>
              <w:t xml:space="preserve"> 募集说明书编制要求第六节 发行人基本情况3.6.7</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3.6.7发行人应当披露收入占近一年或近一期主营业务收入或毛利润比重较高的主要业务板块（一般为占比百分之十以上的业务板块）的运营情况：</w:t>
            </w:r>
          </w:p>
          <w:p>
            <w:pPr>
              <w:adjustRightInd w:val="0"/>
              <w:snapToGrid w:val="0"/>
              <w:rPr>
                <w:rFonts w:ascii="仿宋_GB2312" w:hAnsi="黑体" w:eastAsia="仿宋_GB2312"/>
                <w:szCs w:val="21"/>
              </w:rPr>
            </w:pPr>
            <w:r>
              <w:rPr>
                <w:rFonts w:hint="eastAsia" w:ascii="仿宋_GB2312" w:hAnsi="黑体" w:eastAsia="仿宋_GB2312"/>
                <w:szCs w:val="21"/>
              </w:rPr>
              <w:t>……</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发行人报告期内主营业务板块未发生重大变化的，应按照《公司债券指引第</w:t>
            </w:r>
            <w:r>
              <w:rPr>
                <w:rFonts w:ascii="仿宋_GB2312" w:hAnsi="黑体" w:eastAsia="仿宋_GB2312"/>
                <w:szCs w:val="21"/>
              </w:rPr>
              <w:t>1号》要求，披露营业收入、毛利润及毛利率数据</w:t>
            </w:r>
            <w:r>
              <w:rPr>
                <w:rFonts w:hint="eastAsia" w:ascii="仿宋_GB2312" w:hAnsi="黑体" w:eastAsia="仿宋_GB2312"/>
                <w:szCs w:val="21"/>
              </w:rPr>
              <w:t>，原则上可以仅披露收入占近一年或近一期主营业务收入或毛利润比重百分之二十以上的主要业务板块运营情况，并可豁免披露季度或半年度业务运营情况</w:t>
            </w:r>
            <w:r>
              <w:rPr>
                <w:rFonts w:ascii="仿宋_GB2312" w:hAnsi="黑体" w:eastAsia="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第三章</w:t>
            </w:r>
            <w:r>
              <w:rPr>
                <w:rFonts w:ascii="仿宋_GB2312" w:hAnsi="黑体" w:eastAsia="仿宋_GB2312"/>
                <w:szCs w:val="21"/>
              </w:rPr>
              <w:t xml:space="preserve"> 募集说明书编制要求第六节 发行人基本情况3.6.8</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发行人应当披露所在行业状况、行业地位、面临的主要竞争状况、经营方针及战略以及能说明其行业地位和经营优势的行业关键指标数据，并说明相关数据来源。</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原则上可豁免披露。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《公司债券指引第</w:t>
            </w:r>
            <w:r>
              <w:rPr>
                <w:rFonts w:ascii="仿宋_GB2312" w:hAnsi="黑体" w:eastAsia="仿宋_GB2312"/>
                <w:szCs w:val="21"/>
              </w:rPr>
              <w:t>1号》</w:t>
            </w:r>
            <w:r>
              <w:rPr>
                <w:rFonts w:hint="eastAsia" w:ascii="仿宋_GB2312" w:hAnsi="黑体" w:eastAsia="仿宋_GB2312"/>
                <w:szCs w:val="21"/>
              </w:rPr>
              <w:t>第三章</w:t>
            </w:r>
            <w:r>
              <w:rPr>
                <w:rFonts w:ascii="仿宋_GB2312" w:hAnsi="黑体" w:eastAsia="仿宋_GB2312"/>
                <w:szCs w:val="21"/>
              </w:rPr>
              <w:t xml:space="preserve"> 募集说明书编制要求</w:t>
            </w:r>
            <w:r>
              <w:rPr>
                <w:rFonts w:hint="eastAsia" w:ascii="仿宋_GB2312" w:hAnsi="黑体" w:eastAsia="仿宋_GB2312"/>
                <w:szCs w:val="21"/>
              </w:rPr>
              <w:t>第七节</w:t>
            </w:r>
          </w:p>
          <w:p>
            <w:pPr>
              <w:adjustRightInd w:val="0"/>
              <w:snapToGrid w:val="0"/>
              <w:rPr>
                <w:rFonts w:ascii="仿宋_GB2312" w:hAnsi="黑体" w:eastAsia="仿宋_GB2312"/>
                <w:szCs w:val="21"/>
              </w:rPr>
            </w:pPr>
            <w:r>
              <w:rPr>
                <w:rFonts w:ascii="仿宋_GB2312" w:hAnsi="黑体" w:eastAsia="仿宋_GB2312"/>
                <w:szCs w:val="21"/>
              </w:rPr>
              <w:t xml:space="preserve"> 发行人主要财务情况3.7.3</w:t>
            </w:r>
          </w:p>
        </w:tc>
        <w:tc>
          <w:tcPr>
            <w:tcW w:w="4253" w:type="dxa"/>
            <w:vAlign w:val="center"/>
          </w:tcPr>
          <w:p>
            <w:pPr>
              <w:adjustRightInd w:val="0"/>
              <w:snapToGrid w:val="0"/>
              <w:rPr>
                <w:rFonts w:ascii="仿宋_GB2312" w:hAnsi="黑体" w:eastAsia="仿宋_GB2312"/>
                <w:szCs w:val="21"/>
              </w:rPr>
            </w:pPr>
            <w:r>
              <w:rPr>
                <w:rFonts w:ascii="仿宋_GB2312" w:hAnsi="黑体" w:eastAsia="仿宋_GB2312"/>
                <w:szCs w:val="21"/>
              </w:rPr>
              <w:t>发行人应当对近一年及近一期占总资产百分之十以上的资产类报表项目、占总负债百分之十以上的负债类报表项目以及变化幅度在百分之三十以上的报表项目，分析变动情况及变动原因。</w:t>
            </w:r>
          </w:p>
        </w:tc>
        <w:tc>
          <w:tcPr>
            <w:tcW w:w="3402" w:type="dxa"/>
            <w:vAlign w:val="center"/>
          </w:tcPr>
          <w:p>
            <w:pPr>
              <w:adjustRightInd w:val="0"/>
              <w:snapToGrid w:val="0"/>
              <w:rPr>
                <w:rFonts w:ascii="仿宋_GB2312" w:hAnsi="黑体" w:eastAsia="仿宋_GB2312"/>
                <w:szCs w:val="21"/>
              </w:rPr>
            </w:pPr>
            <w:r>
              <w:rPr>
                <w:rFonts w:hint="eastAsia" w:ascii="仿宋_GB2312" w:hAnsi="黑体" w:eastAsia="仿宋_GB2312"/>
                <w:szCs w:val="21"/>
              </w:rPr>
              <w:t>原则上可以仅对近一年及近一期占总资产百分之二十以上的资产类报表项目、占总负债百分之二十以上的负债类报表项目以及变化幅度在百分之三十以上的报表项目，分析变动情况及变动原因。</w:t>
            </w:r>
          </w:p>
        </w:tc>
      </w:tr>
    </w:tbl>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第十三条</w:t>
      </w:r>
      <w:r>
        <w:rPr>
          <w:rFonts w:ascii="仿宋_GB2312" w:hAnsi="黑体" w:eastAsia="仿宋_GB2312"/>
          <w:b/>
          <w:sz w:val="32"/>
          <w:szCs w:val="32"/>
        </w:rPr>
        <w:t xml:space="preserve"> </w:t>
      </w:r>
      <w:r>
        <w:rPr>
          <w:rFonts w:hint="eastAsia" w:ascii="仿宋_GB2312" w:hAnsi="黑体" w:eastAsia="仿宋_GB2312"/>
          <w:sz w:val="32"/>
          <w:szCs w:val="32"/>
        </w:rPr>
        <w:t>知名成熟发行人按相关规定简化半年度财务数据信息披露的，可以在募集说明书单独章节中以列表形式就主要资产科目、负债科目分析变动情况及变动原因（格式见附件</w:t>
      </w:r>
      <w:r>
        <w:rPr>
          <w:rFonts w:ascii="仿宋_GB2312" w:hAnsi="黑体" w:eastAsia="仿宋_GB2312"/>
          <w:sz w:val="32"/>
          <w:szCs w:val="32"/>
        </w:rPr>
        <w:t>5）</w:t>
      </w:r>
      <w:r>
        <w:rPr>
          <w:rFonts w:hint="eastAsia" w:ascii="仿宋_GB2312" w:hAnsi="黑体" w:eastAsia="仿宋_GB2312"/>
          <w:sz w:val="32"/>
          <w:szCs w:val="32"/>
        </w:rPr>
        <w:t>，且主要会计科目明细列示最低信息披露时间可以为年度。</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第十四条</w:t>
      </w:r>
      <w:r>
        <w:rPr>
          <w:rFonts w:ascii="仿宋_GB2312" w:hAnsi="黑体" w:eastAsia="仿宋_GB2312"/>
          <w:b/>
          <w:sz w:val="32"/>
          <w:szCs w:val="32"/>
        </w:rPr>
        <w:t xml:space="preserve"> </w:t>
      </w:r>
      <w:r>
        <w:rPr>
          <w:rFonts w:hint="eastAsia" w:ascii="仿宋_GB2312" w:hAnsi="黑体" w:eastAsia="仿宋_GB2312"/>
          <w:sz w:val="32"/>
          <w:szCs w:val="32"/>
        </w:rPr>
        <w:t>优质发行人募集说明书中“发行人基本情况”“发行人主要财务情况”“发行人信用状况”等章节内容，已经在公开发行或公开转让的股票或债券的募集说明书、招股说明书、公开转让说明书、上市公告书、定期报告和临时报告等相关监督管理机构规定的信息披露渠道披露过的信息，且不存在重大不利变化或其他特殊情形的，可采用索引的方法披露。</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按照前款规定采用索引方式的，应当在相应章节以列表形式概述章节信息披露方式和索引内容查询方式（格式见附件</w:t>
      </w:r>
      <w:r>
        <w:rPr>
          <w:rFonts w:ascii="仿宋_GB2312" w:hAnsi="黑体" w:eastAsia="仿宋_GB2312"/>
          <w:sz w:val="32"/>
          <w:szCs w:val="32"/>
        </w:rPr>
        <w:t>6）。</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索引的内容也是募集说明书的组成部分，发行人、主承销商、证券服务机构及相关人员应对其承担相应的法律责任。</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第十五条</w:t>
      </w:r>
      <w:r>
        <w:rPr>
          <w:rFonts w:ascii="仿宋_GB2312" w:hAnsi="黑体" w:eastAsia="仿宋_GB2312"/>
          <w:b/>
          <w:sz w:val="32"/>
          <w:szCs w:val="32"/>
        </w:rPr>
        <w:t xml:space="preserve"> </w:t>
      </w:r>
      <w:r>
        <w:rPr>
          <w:rFonts w:hint="eastAsia" w:ascii="仿宋_GB2312" w:hAnsi="黑体" w:eastAsia="仿宋_GB2312"/>
          <w:sz w:val="32"/>
          <w:szCs w:val="32"/>
        </w:rPr>
        <w:t>优质发行人募集资金用于固定资产投资项目，按照《公司债券指引第</w:t>
      </w:r>
      <w:r>
        <w:rPr>
          <w:rFonts w:ascii="仿宋_GB2312" w:hAnsi="黑体" w:eastAsia="仿宋_GB2312"/>
          <w:sz w:val="32"/>
          <w:szCs w:val="32"/>
        </w:rPr>
        <w:t>1号》</w:t>
      </w:r>
      <w:r>
        <w:rPr>
          <w:rFonts w:hint="eastAsia" w:ascii="仿宋_GB2312" w:hAnsi="黑体" w:eastAsia="仿宋_GB2312"/>
          <w:sz w:val="32"/>
          <w:szCs w:val="32"/>
        </w:rPr>
        <w:t>的规定</w:t>
      </w:r>
      <w:r>
        <w:rPr>
          <w:rFonts w:ascii="仿宋_GB2312" w:hAnsi="黑体" w:eastAsia="仿宋_GB2312"/>
          <w:sz w:val="32"/>
          <w:szCs w:val="32"/>
        </w:rPr>
        <w:t>披露项目合法性文件、建设内容、用地情况、资金来源构成等内容</w:t>
      </w:r>
      <w:r>
        <w:rPr>
          <w:rFonts w:hint="eastAsia" w:ascii="仿宋_GB2312" w:hAnsi="黑体" w:eastAsia="仿宋_GB2312"/>
          <w:sz w:val="32"/>
          <w:szCs w:val="32"/>
        </w:rPr>
        <w:t>的，可以按照下列方式进行简要披露：</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（一）知名成熟发行人申报的公司债券（含企业债券）项目，申报阶段无需明确募集资金投向固定资产投资项目的具体使用安排。</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（二）优质发行人可以简要概述项目建设必要性、是否符合国家宏观调控政策、产业政策和固定资产管理法规制度有关规定。</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（三）优质发行人原则上可以结论性论述募投项目收入来源、在债券存续期内和运营期内收入、净收益及测算依据，以及净收益对项目建设部分债券利息和项目总投资的覆盖情况。</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第十六条</w:t>
      </w:r>
      <w:r>
        <w:rPr>
          <w:rFonts w:ascii="仿宋_GB2312" w:hAnsi="黑体" w:eastAsia="仿宋_GB2312"/>
          <w:b/>
          <w:sz w:val="32"/>
          <w:szCs w:val="32"/>
        </w:rPr>
        <w:t xml:space="preserve"> </w:t>
      </w:r>
      <w:r>
        <w:rPr>
          <w:rFonts w:hint="eastAsia" w:ascii="仿宋_GB2312" w:hAnsi="黑体" w:eastAsia="仿宋_GB2312"/>
          <w:sz w:val="32"/>
          <w:szCs w:val="32"/>
        </w:rPr>
        <w:t>优质发行人根据相关规定延长财务数据有效期，但</w:t>
      </w:r>
      <w:r>
        <w:rPr>
          <w:rFonts w:ascii="仿宋_GB2312" w:hAnsi="黑体" w:eastAsia="仿宋_GB2312"/>
          <w:sz w:val="32"/>
          <w:szCs w:val="32"/>
        </w:rPr>
        <w:t>已</w:t>
      </w:r>
      <w:r>
        <w:rPr>
          <w:rFonts w:hint="eastAsia" w:ascii="仿宋_GB2312" w:hAnsi="黑体" w:eastAsia="仿宋_GB2312"/>
          <w:sz w:val="32"/>
          <w:szCs w:val="32"/>
        </w:rPr>
        <w:t>在公开市场</w:t>
      </w:r>
      <w:r>
        <w:rPr>
          <w:rFonts w:ascii="仿宋_GB2312" w:hAnsi="黑体" w:eastAsia="仿宋_GB2312"/>
          <w:sz w:val="32"/>
          <w:szCs w:val="32"/>
        </w:rPr>
        <w:t>披露</w:t>
      </w:r>
      <w:r>
        <w:rPr>
          <w:rFonts w:hint="eastAsia" w:ascii="仿宋_GB2312" w:hAnsi="黑体" w:eastAsia="仿宋_GB2312"/>
          <w:sz w:val="32"/>
          <w:szCs w:val="32"/>
        </w:rPr>
        <w:t>最新一期</w:t>
      </w:r>
      <w:r>
        <w:rPr>
          <w:rFonts w:ascii="仿宋_GB2312" w:hAnsi="黑体" w:eastAsia="仿宋_GB2312"/>
          <w:sz w:val="32"/>
          <w:szCs w:val="32"/>
        </w:rPr>
        <w:t>财务报告的，</w:t>
      </w:r>
      <w:r>
        <w:rPr>
          <w:rFonts w:hint="eastAsia" w:ascii="仿宋_GB2312" w:hAnsi="黑体" w:eastAsia="仿宋_GB2312"/>
          <w:sz w:val="32"/>
          <w:szCs w:val="32"/>
        </w:rPr>
        <w:t>发行人可以采用索引的方式，在募集说明书“重大事项提示”章节披露最新一期财务报告查询方式，列示最新一期财务报告主营业务收入、净利润、总资产、净资产等主要财务数据和财务指标，并在“发行人主要财务情况”章节中披露最新一期“主要财务数据和财务指标表”。</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bCs/>
          <w:sz w:val="32"/>
          <w:szCs w:val="32"/>
        </w:rPr>
        <w:t>第</w:t>
      </w:r>
      <w:r>
        <w:rPr>
          <w:rFonts w:hint="eastAsia" w:ascii="仿宋_GB2312" w:hAnsi="黑体" w:eastAsia="仿宋_GB2312"/>
          <w:b/>
          <w:sz w:val="32"/>
          <w:szCs w:val="32"/>
        </w:rPr>
        <w:t>十七</w:t>
      </w:r>
      <w:r>
        <w:rPr>
          <w:rFonts w:hint="eastAsia" w:ascii="仿宋_GB2312" w:hAnsi="黑体" w:eastAsia="仿宋_GB2312"/>
          <w:b/>
          <w:bCs/>
          <w:sz w:val="32"/>
          <w:szCs w:val="32"/>
        </w:rPr>
        <w:t>条</w:t>
      </w:r>
      <w:r>
        <w:rPr>
          <w:rFonts w:ascii="仿宋_GB2312" w:hAnsi="黑体" w:eastAsia="仿宋_GB2312"/>
          <w:b/>
          <w:bCs/>
          <w:sz w:val="32"/>
          <w:szCs w:val="32"/>
        </w:rPr>
        <w:t xml:space="preserve"> </w:t>
      </w:r>
      <w:r>
        <w:rPr>
          <w:rFonts w:hint="eastAsia" w:ascii="仿宋_GB2312" w:hAnsi="黑体" w:eastAsia="仿宋_GB2312"/>
          <w:sz w:val="32"/>
          <w:szCs w:val="32"/>
        </w:rPr>
        <w:t>本所知名成熟发行人公开发行公司债券，使用年度财务报告向中国证监会提交注册文件的时点最晚延长至当年</w:t>
      </w:r>
      <w:r>
        <w:rPr>
          <w:rFonts w:ascii="仿宋_GB2312" w:hAnsi="黑体" w:eastAsia="仿宋_GB2312"/>
          <w:sz w:val="32"/>
          <w:szCs w:val="32"/>
        </w:rPr>
        <w:t>8月15日，</w:t>
      </w:r>
      <w:r>
        <w:rPr>
          <w:rFonts w:hint="eastAsia" w:ascii="仿宋_GB2312" w:hAnsi="黑体" w:eastAsia="仿宋_GB2312"/>
          <w:sz w:val="32"/>
          <w:szCs w:val="32"/>
        </w:rPr>
        <w:t>使用半年度财务报告向中国证监会提交注册文件的时点最晚延长至次年</w:t>
      </w:r>
      <w:r>
        <w:rPr>
          <w:rFonts w:ascii="仿宋_GB2312" w:hAnsi="黑体" w:eastAsia="仿宋_GB2312"/>
          <w:sz w:val="32"/>
          <w:szCs w:val="32"/>
        </w:rPr>
        <w:t>4月15日</w:t>
      </w:r>
      <w:r>
        <w:rPr>
          <w:rFonts w:hint="eastAsia" w:ascii="仿宋_GB2312" w:hAnsi="黑体" w:eastAsia="仿宋_GB2312"/>
          <w:sz w:val="32"/>
          <w:szCs w:val="32"/>
        </w:rPr>
        <w:t>。</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本所知名成熟发行人非公开发行公司债券，使用年度财务报告提交申请文件完成封卷的时点最晚延长至当年</w:t>
      </w:r>
      <w:r>
        <w:rPr>
          <w:rFonts w:ascii="仿宋_GB2312" w:hAnsi="黑体" w:eastAsia="仿宋_GB2312"/>
          <w:sz w:val="32"/>
          <w:szCs w:val="32"/>
        </w:rPr>
        <w:t>8月25日</w:t>
      </w:r>
      <w:r>
        <w:rPr>
          <w:rFonts w:hint="eastAsia" w:ascii="仿宋_GB2312" w:hAnsi="黑体" w:eastAsia="仿宋_GB2312"/>
          <w:sz w:val="32"/>
          <w:szCs w:val="32"/>
        </w:rPr>
        <w:t>，使用半年度财务报告提交申请文件完成封卷的时点最晚延长至次年</w:t>
      </w:r>
      <w:r>
        <w:rPr>
          <w:rFonts w:ascii="仿宋_GB2312" w:hAnsi="黑体" w:eastAsia="仿宋_GB2312"/>
          <w:sz w:val="32"/>
          <w:szCs w:val="32"/>
        </w:rPr>
        <w:t>4月25日</w:t>
      </w:r>
      <w:r>
        <w:rPr>
          <w:rFonts w:hint="eastAsia" w:ascii="仿宋_GB2312" w:hAnsi="黑体" w:eastAsia="仿宋_GB2312"/>
          <w:sz w:val="32"/>
          <w:szCs w:val="32"/>
        </w:rPr>
        <w:t>。</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发行人应结合自身融资计划，做好公司债券申报安排。</w:t>
      </w:r>
    </w:p>
    <w:p>
      <w:pPr>
        <w:adjustRightInd w:val="0"/>
        <w:snapToGrid w:val="0"/>
        <w:spacing w:line="560" w:lineRule="exact"/>
        <w:jc w:val="center"/>
        <w:rPr>
          <w:rFonts w:ascii="黑体" w:hAnsi="黑体" w:eastAsia="黑体"/>
          <w:b/>
          <w:sz w:val="32"/>
          <w:szCs w:val="32"/>
        </w:rPr>
      </w:pPr>
      <w:bookmarkStart w:id="0" w:name="_Hlk157369326"/>
      <w:r>
        <w:rPr>
          <w:rFonts w:hint="eastAsia" w:ascii="黑体" w:hAnsi="黑体" w:eastAsia="黑体"/>
          <w:b/>
          <w:sz w:val="32"/>
          <w:szCs w:val="32"/>
        </w:rPr>
        <w:t>第四章</w:t>
      </w:r>
      <w:r>
        <w:rPr>
          <w:rFonts w:ascii="黑体" w:hAnsi="黑体" w:eastAsia="黑体"/>
          <w:b/>
          <w:sz w:val="32"/>
          <w:szCs w:val="32"/>
        </w:rPr>
        <w:t xml:space="preserve"> </w:t>
      </w:r>
      <w:r>
        <w:rPr>
          <w:rFonts w:hint="eastAsia" w:ascii="黑体" w:hAnsi="黑体" w:eastAsia="黑体"/>
          <w:b/>
          <w:sz w:val="32"/>
          <w:szCs w:val="32"/>
        </w:rPr>
        <w:t>公司债券存续期信息披露简化安排</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第十八条</w:t>
      </w:r>
      <w:r>
        <w:rPr>
          <w:rFonts w:ascii="仿宋_GB2312" w:hAnsi="黑体" w:eastAsia="仿宋_GB2312"/>
          <w:b/>
          <w:sz w:val="32"/>
          <w:szCs w:val="32"/>
        </w:rPr>
        <w:t xml:space="preserve"> </w:t>
      </w:r>
      <w:r>
        <w:rPr>
          <w:rFonts w:hint="eastAsia" w:ascii="仿宋_GB2312" w:hAnsi="黑体" w:eastAsia="仿宋_GB2312"/>
          <w:sz w:val="32"/>
          <w:szCs w:val="32"/>
        </w:rPr>
        <w:t>优质发行人定期报告中发行人经营情况、评级调整情况、合并报表范围重大变化情况（涉及规则条文见附件</w:t>
      </w:r>
      <w:r>
        <w:rPr>
          <w:rFonts w:ascii="仿宋_GB2312" w:hAnsi="黑体" w:eastAsia="仿宋_GB2312"/>
          <w:sz w:val="32"/>
          <w:szCs w:val="32"/>
        </w:rPr>
        <w:t>7），</w:t>
      </w:r>
      <w:r>
        <w:rPr>
          <w:rFonts w:hint="eastAsia" w:ascii="仿宋_GB2312" w:hAnsi="黑体" w:eastAsia="仿宋_GB2312"/>
          <w:sz w:val="32"/>
          <w:szCs w:val="32"/>
        </w:rPr>
        <w:t>已经在公开发行或公开转让的股票或债券的募集说明书、招股说明书、公开转让说明书、上市公告书、定期报告和临时报告等相关监督管理机构规定的信息披露渠道披露过的信息，不存在重大不利变化或其他特殊情形的，可以采用索引的方法进行披露。</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按照前款规定采用索引方式的，应在相应章节以列表形式概述章节信息披露方式和索引内容查询方式（格式见附件</w:t>
      </w:r>
      <w:r>
        <w:rPr>
          <w:rFonts w:ascii="仿宋_GB2312" w:hAnsi="黑体" w:eastAsia="仿宋_GB2312"/>
          <w:sz w:val="32"/>
          <w:szCs w:val="32"/>
        </w:rPr>
        <w:t>6）。索引的内容也是定期报告的组成部分，发行人、受托管理人及相关人员应对其承担相应的法律责任。</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第十九条</w:t>
      </w:r>
      <w:r>
        <w:rPr>
          <w:rFonts w:ascii="仿宋_GB2312" w:hAnsi="黑体" w:eastAsia="仿宋_GB2312"/>
          <w:sz w:val="32"/>
          <w:szCs w:val="32"/>
        </w:rPr>
        <w:t xml:space="preserve"> </w:t>
      </w:r>
      <w:r>
        <w:rPr>
          <w:rFonts w:hint="eastAsia" w:ascii="仿宋_GB2312" w:hAnsi="黑体" w:eastAsia="仿宋_GB2312"/>
          <w:sz w:val="32"/>
          <w:szCs w:val="32"/>
        </w:rPr>
        <w:t>知名成熟发行人、优质上市公司可以在中期报告中豁免披露资产变动情况、非经营性往来占款情况、有息负债情况、利润来源情况（涉及规则条文见附件</w:t>
      </w:r>
      <w:r>
        <w:rPr>
          <w:rFonts w:ascii="仿宋_GB2312" w:hAnsi="黑体" w:eastAsia="仿宋_GB2312"/>
          <w:sz w:val="32"/>
          <w:szCs w:val="32"/>
        </w:rPr>
        <w:t>7）</w:t>
      </w:r>
      <w:r>
        <w:rPr>
          <w:rFonts w:hint="eastAsia" w:ascii="仿宋_GB2312" w:hAnsi="黑体" w:eastAsia="仿宋_GB2312"/>
          <w:sz w:val="32"/>
          <w:szCs w:val="32"/>
        </w:rPr>
        <w:t>，但是法律法规对上市公司、新三板挂牌公司等另有规定或者相关事项在报告期内发生重大不利变化的除外。</w:t>
      </w:r>
    </w:p>
    <w:bookmarkEnd w:id="0"/>
    <w:p>
      <w:pPr>
        <w:adjustRightInd w:val="0"/>
        <w:snapToGrid w:val="0"/>
        <w:spacing w:line="560" w:lineRule="exact"/>
        <w:jc w:val="center"/>
        <w:rPr>
          <w:rFonts w:ascii="黑体" w:hAnsi="黑体" w:eastAsia="黑体"/>
          <w:b/>
          <w:sz w:val="32"/>
          <w:szCs w:val="32"/>
        </w:rPr>
      </w:pPr>
      <w:r>
        <w:rPr>
          <w:rFonts w:hint="eastAsia" w:ascii="黑体" w:hAnsi="黑体" w:eastAsia="黑体"/>
          <w:b/>
          <w:sz w:val="32"/>
          <w:szCs w:val="32"/>
        </w:rPr>
        <w:t>第五章</w:t>
      </w:r>
      <w:r>
        <w:rPr>
          <w:rFonts w:ascii="黑体" w:hAnsi="黑体" w:eastAsia="黑体"/>
          <w:b/>
          <w:sz w:val="32"/>
          <w:szCs w:val="32"/>
        </w:rPr>
        <w:t xml:space="preserve"> </w:t>
      </w:r>
      <w:r>
        <w:rPr>
          <w:rFonts w:hint="eastAsia" w:ascii="黑体" w:hAnsi="黑体" w:eastAsia="黑体"/>
          <w:b/>
          <w:sz w:val="32"/>
          <w:szCs w:val="32"/>
        </w:rPr>
        <w:t>资产支持证券信息披露简明安排</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第二十条</w:t>
      </w:r>
      <w:r>
        <w:rPr>
          <w:rFonts w:ascii="仿宋_GB2312" w:hAnsi="黑体" w:eastAsia="仿宋_GB2312"/>
          <w:sz w:val="32"/>
          <w:szCs w:val="32"/>
        </w:rPr>
        <w:t xml:space="preserve"> </w:t>
      </w:r>
      <w:r>
        <w:rPr>
          <w:rFonts w:hint="eastAsia" w:ascii="仿宋_GB2312" w:hAnsi="黑体" w:eastAsia="仿宋_GB2312"/>
          <w:sz w:val="32"/>
          <w:szCs w:val="32"/>
        </w:rPr>
        <w:t>计划管理人可以按照重要性、针对性、简明通俗性原则，适当简化计划说明书部分章节关于优质发起人的信息披露，以图表、总结性语言等直观、清晰的方式披露关键事项。</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第二十一条</w:t>
      </w:r>
      <w:r>
        <w:rPr>
          <w:rFonts w:ascii="仿宋_GB2312" w:hAnsi="黑体" w:eastAsia="仿宋_GB2312"/>
          <w:sz w:val="32"/>
          <w:szCs w:val="32"/>
        </w:rPr>
        <w:t xml:space="preserve"> </w:t>
      </w:r>
      <w:r>
        <w:rPr>
          <w:rFonts w:hint="eastAsia" w:ascii="仿宋_GB2312" w:hAnsi="黑体" w:eastAsia="仿宋_GB2312"/>
          <w:sz w:val="32"/>
          <w:szCs w:val="32"/>
        </w:rPr>
        <w:t>优质发起人经营和财务情况无重大不利变化、不存在对偿债能力产生重大影响事项的，计划管理人可参照如下方式适当简化计划说明书中“特定原始权益人、管理人和其他主要业务参与人情况”章节的信息披露（格式见附件</w:t>
      </w:r>
      <w:r>
        <w:rPr>
          <w:rFonts w:ascii="仿宋_GB2312" w:hAnsi="黑体" w:eastAsia="仿宋_GB2312"/>
          <w:sz w:val="32"/>
          <w:szCs w:val="32"/>
        </w:rPr>
        <w:t>8），但是首次申请发行资产支持证券的优质发起人除外。</w:t>
      </w:r>
    </w:p>
    <w:tbl>
      <w:tblPr>
        <w:tblStyle w:val="10"/>
        <w:tblW w:w="10688" w:type="dxa"/>
        <w:jc w:val="center"/>
        <w:tblLayout w:type="autofit"/>
        <w:tblCellMar>
          <w:top w:w="0" w:type="dxa"/>
          <w:left w:w="108" w:type="dxa"/>
          <w:bottom w:w="0" w:type="dxa"/>
          <w:right w:w="108" w:type="dxa"/>
        </w:tblCellMar>
      </w:tblPr>
      <w:tblGrid>
        <w:gridCol w:w="1900"/>
        <w:gridCol w:w="5528"/>
        <w:gridCol w:w="3260"/>
      </w:tblGrid>
      <w:tr>
        <w:tblPrEx>
          <w:tblCellMar>
            <w:top w:w="0" w:type="dxa"/>
            <w:left w:w="108" w:type="dxa"/>
            <w:bottom w:w="0" w:type="dxa"/>
            <w:right w:w="108" w:type="dxa"/>
          </w:tblCellMar>
        </w:tblPrEx>
        <w:trPr>
          <w:trHeight w:val="288" w:hRule="atLeast"/>
          <w:tblHeader/>
          <w:jc w:val="center"/>
        </w:trPr>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规则及条款号</w:t>
            </w: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规则具体要求</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简化信息披露安排</w:t>
            </w:r>
          </w:p>
        </w:tc>
      </w:tr>
      <w:tr>
        <w:tblPrEx>
          <w:tblCellMar>
            <w:top w:w="0" w:type="dxa"/>
            <w:left w:w="108" w:type="dxa"/>
            <w:bottom w:w="0" w:type="dxa"/>
            <w:right w:w="108" w:type="dxa"/>
          </w:tblCellMar>
        </w:tblPrEx>
        <w:trPr>
          <w:trHeight w:val="288" w:hRule="atLeast"/>
          <w:jc w:val="center"/>
        </w:trPr>
        <w:tc>
          <w:tcPr>
            <w:tcW w:w="19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《上海证券交易所资产支持证券挂牌条件确认规则适用指引第</w:t>
            </w:r>
            <w:r>
              <w:rPr>
                <w:rFonts w:ascii="仿宋_GB2312" w:hAnsi="宋体" w:eastAsia="仿宋_GB2312" w:cs="宋体"/>
                <w:color w:val="000000"/>
                <w:kern w:val="0"/>
                <w:szCs w:val="21"/>
              </w:rPr>
              <w:t>1号——申请文件及编制》（以下简称《资产支持证券指引第1号》）</w:t>
            </w:r>
            <w:r>
              <w:rPr>
                <w:rFonts w:hint="eastAsia" w:ascii="仿宋_GB2312" w:hAnsi="宋体" w:eastAsia="仿宋_GB2312" w:cs="宋体"/>
                <w:color w:val="000000"/>
                <w:kern w:val="0"/>
                <w:szCs w:val="21"/>
              </w:rPr>
              <w:t>第</w:t>
            </w:r>
            <w:r>
              <w:rPr>
                <w:rFonts w:ascii="仿宋_GB2312" w:hAnsi="宋体" w:eastAsia="仿宋_GB2312" w:cs="宋体"/>
                <w:color w:val="000000"/>
                <w:kern w:val="0"/>
                <w:szCs w:val="21"/>
              </w:rPr>
              <w:t>3.6.2条</w:t>
            </w: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原始权益人内外部决策程序。</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应当披露。</w:t>
            </w:r>
          </w:p>
        </w:tc>
      </w:tr>
      <w:tr>
        <w:tblPrEx>
          <w:tblCellMar>
            <w:top w:w="0" w:type="dxa"/>
            <w:left w:w="108" w:type="dxa"/>
            <w:bottom w:w="0" w:type="dxa"/>
            <w:right w:w="108" w:type="dxa"/>
          </w:tblCellMar>
        </w:tblPrEx>
        <w:trPr>
          <w:trHeight w:val="576" w:hRule="atLeast"/>
          <w:jc w:val="center"/>
        </w:trPr>
        <w:tc>
          <w:tcPr>
            <w:tcW w:w="19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《资产支持证券指引第</w:t>
            </w:r>
            <w:r>
              <w:rPr>
                <w:rFonts w:ascii="仿宋_GB2312" w:hAnsi="宋体" w:eastAsia="仿宋_GB2312" w:cs="宋体"/>
                <w:color w:val="000000"/>
                <w:kern w:val="0"/>
                <w:szCs w:val="21"/>
              </w:rPr>
              <w:t>1号》第3.6.3条</w:t>
            </w: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计划说明书应当简要披露特定原始权益人的下列历史沿革、股权结构、组织架构以及治理结构：</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索引披露。若不存在一年内可索引的公开披露的文件，参照以下要求披露。</w:t>
            </w:r>
          </w:p>
        </w:tc>
      </w:tr>
      <w:tr>
        <w:tblPrEx>
          <w:tblCellMar>
            <w:top w:w="0" w:type="dxa"/>
            <w:left w:w="108" w:type="dxa"/>
            <w:bottom w:w="0" w:type="dxa"/>
            <w:right w:w="108" w:type="dxa"/>
          </w:tblCellMar>
        </w:tblPrEx>
        <w:trPr>
          <w:trHeight w:val="864"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（一）公司设立、名称变更、股本结构的历次变动情况，以及历史上改制、重大增减资、合并、分立、破产重整、更名等重要事件；</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可以列表形式汇总披露代表企业阶段性进程的重要事件及日期，针对性披露对特定原始权益人偿债能力存在重大不利影响的事件。</w:t>
            </w:r>
          </w:p>
        </w:tc>
      </w:tr>
      <w:tr>
        <w:tblPrEx>
          <w:tblCellMar>
            <w:top w:w="0" w:type="dxa"/>
            <w:left w:w="108" w:type="dxa"/>
            <w:bottom w:w="0" w:type="dxa"/>
            <w:right w:w="108" w:type="dxa"/>
          </w:tblCellMar>
        </w:tblPrEx>
        <w:trPr>
          <w:trHeight w:val="288"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（二）治理结构、组织机构设置以及运行情况；</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原则上可以组织结构图形式披露治理结构、组织机构设置，结论性披露运行情况，针对性披露前述机制存在特殊或运行异常情况。</w:t>
            </w:r>
          </w:p>
        </w:tc>
      </w:tr>
      <w:tr>
        <w:tblPrEx>
          <w:tblCellMar>
            <w:top w:w="0" w:type="dxa"/>
            <w:left w:w="108" w:type="dxa"/>
            <w:bottom w:w="0" w:type="dxa"/>
            <w:right w:w="108" w:type="dxa"/>
          </w:tblCellMar>
        </w:tblPrEx>
        <w:trPr>
          <w:trHeight w:val="1152"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（三）控股股东、实际控制人的基本情况、持股比例、股份或股权权利限制情况、资信情况、被媒体质疑的重大事项（如有）。实际控制人应当披露到最终的国有控股主体、集体组织或自然人为止；</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应当披露。</w:t>
            </w:r>
          </w:p>
        </w:tc>
      </w:tr>
      <w:tr>
        <w:tblPrEx>
          <w:tblCellMar>
            <w:top w:w="0" w:type="dxa"/>
            <w:left w:w="108" w:type="dxa"/>
            <w:bottom w:w="0" w:type="dxa"/>
            <w:right w:w="108" w:type="dxa"/>
          </w:tblCellMar>
        </w:tblPrEx>
        <w:trPr>
          <w:trHeight w:val="576"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（四）对其他企业的重要权益投资情况，包括主要子公司以及其他有重要影响的参股公司、合营企业和联营企业等。</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bCs/>
                <w:color w:val="000000"/>
                <w:kern w:val="0"/>
                <w:szCs w:val="21"/>
              </w:rPr>
            </w:pPr>
            <w:r>
              <w:rPr>
                <w:rFonts w:hint="eastAsia" w:ascii="仿宋_GB2312" w:hAnsi="宋体" w:eastAsia="仿宋_GB2312" w:cs="宋体"/>
                <w:bCs/>
                <w:color w:val="000000"/>
                <w:kern w:val="0"/>
                <w:szCs w:val="21"/>
              </w:rPr>
              <w:t>不存在对净利润造成重大不利影响的，原则上可以豁免披露。</w:t>
            </w:r>
          </w:p>
        </w:tc>
      </w:tr>
      <w:tr>
        <w:tblPrEx>
          <w:tblCellMar>
            <w:top w:w="0" w:type="dxa"/>
            <w:left w:w="108" w:type="dxa"/>
            <w:bottom w:w="0" w:type="dxa"/>
            <w:right w:w="108" w:type="dxa"/>
          </w:tblCellMar>
        </w:tblPrEx>
        <w:trPr>
          <w:trHeight w:val="576" w:hRule="atLeast"/>
          <w:jc w:val="center"/>
        </w:trPr>
        <w:tc>
          <w:tcPr>
            <w:tcW w:w="19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《资产支持证券指引第</w:t>
            </w:r>
            <w:r>
              <w:rPr>
                <w:rFonts w:ascii="仿宋_GB2312" w:hAnsi="宋体" w:eastAsia="仿宋_GB2312" w:cs="宋体"/>
                <w:color w:val="000000"/>
                <w:kern w:val="0"/>
                <w:szCs w:val="21"/>
              </w:rPr>
              <w:t>1号》第3.6.4条</w:t>
            </w: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计划说明书应当披露特定原始权益人主营业务的下列情况：</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索引披露。若不存在一年内可索引的公开披露的文件，参照以下要求披露。</w:t>
            </w:r>
          </w:p>
        </w:tc>
      </w:tr>
      <w:tr>
        <w:tblPrEx>
          <w:tblCellMar>
            <w:top w:w="0" w:type="dxa"/>
            <w:left w:w="108" w:type="dxa"/>
            <w:bottom w:w="0" w:type="dxa"/>
            <w:right w:w="108" w:type="dxa"/>
          </w:tblCellMar>
        </w:tblPrEx>
        <w:trPr>
          <w:trHeight w:val="864"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（一）主要业务板块运营情况、经营模式、各主要产品或者服务内容和规模，列表披露最近三年及一期的营业收入、毛利润、毛利率情况等；</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按照业务板块，列表披露最近三年及一期的营业收入、毛利润、毛利率数据。</w:t>
            </w:r>
          </w:p>
        </w:tc>
      </w:tr>
      <w:tr>
        <w:tblPrEx>
          <w:tblCellMar>
            <w:top w:w="0" w:type="dxa"/>
            <w:left w:w="108" w:type="dxa"/>
            <w:bottom w:w="0" w:type="dxa"/>
            <w:right w:w="108" w:type="dxa"/>
          </w:tblCellMar>
        </w:tblPrEx>
        <w:trPr>
          <w:trHeight w:val="864"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（二）所在行业状况、行业地位、面临的主要竞争状况、能说明其行业地位和经营优势的行业关键指标数据等，并说明相关数据来源；</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b/>
                <w:bCs/>
                <w:color w:val="000000"/>
                <w:kern w:val="0"/>
                <w:szCs w:val="21"/>
              </w:rPr>
            </w:pPr>
            <w:r>
              <w:rPr>
                <w:rFonts w:hint="eastAsia" w:ascii="仿宋_GB2312" w:hAnsi="宋体" w:eastAsia="仿宋_GB2312" w:cs="宋体"/>
                <w:color w:val="000000"/>
                <w:kern w:val="0"/>
                <w:szCs w:val="21"/>
              </w:rPr>
              <w:t>原则上可以</w:t>
            </w:r>
            <w:r>
              <w:rPr>
                <w:rFonts w:hint="eastAsia" w:ascii="仿宋_GB2312" w:hAnsi="宋体" w:eastAsia="仿宋_GB2312" w:cs="宋体"/>
                <w:bCs/>
                <w:color w:val="000000"/>
                <w:kern w:val="0"/>
                <w:szCs w:val="21"/>
              </w:rPr>
              <w:t>豁免披露。</w:t>
            </w:r>
          </w:p>
        </w:tc>
      </w:tr>
      <w:tr>
        <w:tblPrEx>
          <w:tblCellMar>
            <w:top w:w="0" w:type="dxa"/>
            <w:left w:w="108" w:type="dxa"/>
            <w:bottom w:w="0" w:type="dxa"/>
            <w:right w:w="108" w:type="dxa"/>
          </w:tblCellMar>
        </w:tblPrEx>
        <w:trPr>
          <w:trHeight w:val="662"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（三）管理人应当结合特定原始权益人自身特点，披露与基础资产相关的业务情况，包括经营模式、业务管理制度、风险控制制度、人员配备以及系统支持情况、上</w:t>
            </w:r>
            <w:r>
              <w:rPr>
                <w:rFonts w:ascii="仿宋_GB2312" w:hAnsi="宋体" w:eastAsia="仿宋_GB2312" w:cs="宋体"/>
                <w:color w:val="000000"/>
                <w:kern w:val="0"/>
                <w:szCs w:val="21"/>
              </w:rPr>
              <w:t>/下游情况、获客来源、展业时间、展业规模等</w:t>
            </w:r>
            <w:r>
              <w:rPr>
                <w:rFonts w:hint="eastAsia" w:ascii="仿宋_GB2312" w:hAnsi="宋体" w:eastAsia="仿宋_GB2312" w:cs="宋体"/>
                <w:color w:val="000000"/>
                <w:kern w:val="0"/>
                <w:szCs w:val="21"/>
              </w:rPr>
              <w:t>。</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bCs/>
                <w:color w:val="000000"/>
                <w:kern w:val="0"/>
                <w:szCs w:val="21"/>
              </w:rPr>
              <w:t>近一期较最近一个会计年度期末无重大变化的</w:t>
            </w:r>
            <w:r>
              <w:rPr>
                <w:rFonts w:hint="eastAsia" w:ascii="仿宋_GB2312" w:hAnsi="宋体" w:eastAsia="仿宋_GB2312" w:cs="宋体"/>
                <w:color w:val="000000"/>
                <w:kern w:val="0"/>
                <w:szCs w:val="21"/>
              </w:rPr>
              <w:t>，</w:t>
            </w:r>
            <w:r>
              <w:rPr>
                <w:rFonts w:hint="eastAsia" w:ascii="仿宋_GB2312" w:hAnsi="宋体" w:eastAsia="仿宋_GB2312" w:cs="宋体"/>
                <w:bCs/>
                <w:color w:val="000000"/>
                <w:kern w:val="0"/>
                <w:szCs w:val="21"/>
              </w:rPr>
              <w:t>可简要披露。</w:t>
            </w:r>
          </w:p>
        </w:tc>
      </w:tr>
      <w:tr>
        <w:tblPrEx>
          <w:tblCellMar>
            <w:top w:w="0" w:type="dxa"/>
            <w:left w:w="108" w:type="dxa"/>
            <w:bottom w:w="0" w:type="dxa"/>
            <w:right w:w="108" w:type="dxa"/>
          </w:tblCellMar>
        </w:tblPrEx>
        <w:trPr>
          <w:trHeight w:val="1152" w:hRule="atLeast"/>
          <w:jc w:val="center"/>
        </w:trPr>
        <w:tc>
          <w:tcPr>
            <w:tcW w:w="1900" w:type="dxa"/>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《上海证券交易所资产支持证券挂牌条件确认规则适用指引第</w:t>
            </w:r>
            <w:r>
              <w:rPr>
                <w:rFonts w:ascii="仿宋_GB2312" w:hAnsi="宋体" w:eastAsia="仿宋_GB2312" w:cs="宋体"/>
                <w:color w:val="000000"/>
                <w:kern w:val="0"/>
                <w:szCs w:val="21"/>
              </w:rPr>
              <w:t>2号——大类基础资产》（以下简称《资产支持证券指引</w:t>
            </w:r>
            <w:r>
              <w:rPr>
                <w:rFonts w:hint="eastAsia" w:ascii="仿宋_GB2312" w:hAnsi="宋体" w:eastAsia="仿宋_GB2312" w:cs="宋体"/>
                <w:color w:val="000000"/>
                <w:kern w:val="0"/>
                <w:szCs w:val="21"/>
              </w:rPr>
              <w:t>第</w:t>
            </w:r>
            <w:r>
              <w:rPr>
                <w:rFonts w:ascii="仿宋_GB2312" w:hAnsi="宋体" w:eastAsia="仿宋_GB2312" w:cs="宋体"/>
                <w:color w:val="000000"/>
                <w:kern w:val="0"/>
                <w:szCs w:val="21"/>
              </w:rPr>
              <w:t>2号》）</w:t>
            </w:r>
            <w:r>
              <w:rPr>
                <w:rFonts w:hint="eastAsia" w:ascii="仿宋_GB2312" w:hAnsi="宋体" w:eastAsia="仿宋_GB2312" w:cs="宋体"/>
                <w:color w:val="000000"/>
                <w:kern w:val="0"/>
                <w:szCs w:val="21"/>
              </w:rPr>
              <w:t>第</w:t>
            </w:r>
            <w:r>
              <w:rPr>
                <w:rFonts w:ascii="仿宋_GB2312" w:hAnsi="宋体" w:eastAsia="仿宋_GB2312" w:cs="宋体"/>
                <w:color w:val="000000"/>
                <w:kern w:val="0"/>
                <w:szCs w:val="21"/>
              </w:rPr>
              <w:t>2.4.4条</w:t>
            </w: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特定原始权益人及增信机构存在下列情形的，管理人应当充分披露具体情形及原因，核查相关事项对其持续经营能力、偿付能力、融资环境可能造成的不利影响，并结合基础资产类型及特征等审慎确定资产支持证券申报方案：</w:t>
            </w:r>
            <w:r>
              <w:rPr>
                <w:rFonts w:ascii="仿宋_GB2312" w:hAnsi="宋体" w:eastAsia="仿宋_GB2312" w:cs="宋体"/>
                <w:color w:val="000000"/>
                <w:kern w:val="0"/>
                <w:szCs w:val="21"/>
              </w:rPr>
              <w:br w:type="textWrapping"/>
            </w:r>
            <w:r>
              <w:rPr>
                <w:rFonts w:hint="eastAsia" w:ascii="仿宋_GB2312" w:hAnsi="宋体" w:eastAsia="仿宋_GB2312" w:cs="宋体"/>
                <w:color w:val="000000"/>
                <w:kern w:val="0"/>
                <w:szCs w:val="21"/>
              </w:rPr>
              <w:t>（一）特定原始权益人及增信机构、所属企业集团或者控股股东、实际控制人存在债务违约或延迟支付本息、主体信用评级（如有）下调，或特定原始权益人及增信机构所在区域、所处行业已发生可能影响企业偿付与融资能力的重大不利变化；</w:t>
            </w:r>
            <w:r>
              <w:rPr>
                <w:rFonts w:ascii="仿宋_GB2312" w:hAnsi="宋体" w:eastAsia="仿宋_GB2312" w:cs="宋体"/>
                <w:color w:val="000000"/>
                <w:kern w:val="0"/>
                <w:szCs w:val="21"/>
              </w:rPr>
              <w:br w:type="textWrapping"/>
            </w:r>
            <w:r>
              <w:rPr>
                <w:rFonts w:hint="eastAsia" w:ascii="仿宋_GB2312" w:hAnsi="宋体" w:eastAsia="仿宋_GB2312" w:cs="宋体"/>
                <w:color w:val="000000"/>
                <w:kern w:val="0"/>
                <w:szCs w:val="21"/>
              </w:rPr>
              <w:t>（二）特定原始权益人及增信机构、所属企业集团或者控股股东、实际控制人存在频繁受到监管关注或问询、面临大额诉讼或仲裁、存在被媒体质疑等重大负面舆情，或者机构或其董事、监事、高级管理人员涉嫌违法违规被有权机关调查、被采取强制措施或存在严重失信行为等负面情形。</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列表逐条核查并披露是否存在相关情形。</w:t>
            </w:r>
          </w:p>
        </w:tc>
      </w:tr>
      <w:tr>
        <w:tblPrEx>
          <w:tblCellMar>
            <w:top w:w="0" w:type="dxa"/>
            <w:left w:w="108" w:type="dxa"/>
            <w:bottom w:w="0" w:type="dxa"/>
            <w:right w:w="108" w:type="dxa"/>
          </w:tblCellMar>
        </w:tblPrEx>
        <w:trPr>
          <w:trHeight w:val="576" w:hRule="atLeast"/>
          <w:jc w:val="center"/>
        </w:trPr>
        <w:tc>
          <w:tcPr>
            <w:tcW w:w="19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《资产支持证券指引第</w:t>
            </w:r>
            <w:r>
              <w:rPr>
                <w:rFonts w:ascii="仿宋_GB2312" w:hAnsi="宋体" w:eastAsia="仿宋_GB2312" w:cs="宋体"/>
                <w:color w:val="000000"/>
                <w:kern w:val="0"/>
                <w:szCs w:val="21"/>
              </w:rPr>
              <w:t xml:space="preserve">1号》3.6.6 </w:t>
            </w:r>
            <w:r>
              <w:rPr>
                <w:rFonts w:hint="eastAsia" w:ascii="仿宋_GB2312" w:hAnsi="宋体" w:eastAsia="仿宋_GB2312" w:cs="宋体"/>
                <w:color w:val="000000"/>
                <w:kern w:val="0"/>
                <w:szCs w:val="21"/>
              </w:rPr>
              <w:t>条</w:t>
            </w: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计划说明书应当披露特定原始权益人的下列财务状况：</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索引披露。若不存在一年内可索引的公开披露的文件，参照以下要求披露。</w:t>
            </w:r>
          </w:p>
        </w:tc>
      </w:tr>
      <w:tr>
        <w:tblPrEx>
          <w:tblCellMar>
            <w:top w:w="0" w:type="dxa"/>
            <w:left w:w="108" w:type="dxa"/>
            <w:bottom w:w="0" w:type="dxa"/>
            <w:right w:w="108" w:type="dxa"/>
          </w:tblCellMar>
        </w:tblPrEx>
        <w:trPr>
          <w:trHeight w:val="2016"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一）最近三年财务报告的审计意见，若为带强调事项段无保留意见或者保留意见的，应当披露特定原始权益人董事会或者有权机构就所涉及事项作出的说明，以及会计师事务所、注册会计师对于带强调事项段或者保留意见所涉及事项的补充意见，并分析相关事项对偿付能力的影响。注册会计师应当对非标准意见所涉及事项及其影响是否已经消除进行核查并发表核查意见；</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应当披露。</w:t>
            </w:r>
          </w:p>
        </w:tc>
      </w:tr>
      <w:tr>
        <w:tblPrEx>
          <w:tblCellMar>
            <w:top w:w="0" w:type="dxa"/>
            <w:left w:w="108" w:type="dxa"/>
            <w:bottom w:w="0" w:type="dxa"/>
            <w:right w:w="108" w:type="dxa"/>
          </w:tblCellMar>
        </w:tblPrEx>
        <w:trPr>
          <w:trHeight w:val="2016"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二）列表披露最近三年及一期财务会计信息以及主要财务指标。财务会计信息包括但不限于资产负债表、利润表、现金流量表。特定原始权益人编制合并财务报表的，应当同时披露合并财务报表和母公司财务报表。财务指标包括但不限于偿债能力指标、盈利能力指标、运营效率指标。管理人应当对可能影响投资者理解特定原始权益人财务状况、经营业绩和现金流量等情况的信息加以说明；</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bCs/>
                <w:color w:val="000000"/>
                <w:kern w:val="0"/>
                <w:szCs w:val="21"/>
              </w:rPr>
              <w:t>豁免披露</w:t>
            </w:r>
            <w:r>
              <w:rPr>
                <w:rFonts w:hint="eastAsia" w:ascii="仿宋_GB2312" w:hAnsi="宋体" w:eastAsia="仿宋_GB2312" w:cs="宋体"/>
                <w:color w:val="000000"/>
                <w:kern w:val="0"/>
                <w:szCs w:val="21"/>
              </w:rPr>
              <w:t>母公司财务报表。</w:t>
            </w:r>
          </w:p>
        </w:tc>
      </w:tr>
      <w:tr>
        <w:tblPrEx>
          <w:tblCellMar>
            <w:top w:w="0" w:type="dxa"/>
            <w:left w:w="108" w:type="dxa"/>
            <w:bottom w:w="0" w:type="dxa"/>
            <w:right w:w="108" w:type="dxa"/>
          </w:tblCellMar>
        </w:tblPrEx>
        <w:trPr>
          <w:trHeight w:val="1440"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三）最近一年及一期占总资产百分之十以上的资产类报表项目、占总负债百分之十以上的负债类报表项目以及变化幅度在百分之三十以上的报表项目，应当分析变动情况以及变动原因。报告期内存在资产负债率较高、经营业绩大幅下滑、经营活动现金流量净额持续为负等情况的，应当充分揭示风险；</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原则上可以仅对近一年及近一期占总资产百分之二十以上的资产类报表项目、占总负债百分之二十以上的负债类报表项目以及变化幅度在百分之三十以上的报表项目，分析变动情况及变动原因。</w:t>
            </w:r>
          </w:p>
          <w:p>
            <w:pPr>
              <w:widowControl/>
              <w:jc w:val="left"/>
              <w:rPr>
                <w:rFonts w:ascii="仿宋_GB2312" w:hAnsi="宋体" w:eastAsia="仿宋_GB2312" w:cs="宋体"/>
                <w:color w:val="000000"/>
                <w:kern w:val="0"/>
                <w:szCs w:val="21"/>
              </w:rPr>
            </w:pPr>
            <w:r>
              <w:rPr>
                <w:rFonts w:hint="eastAsia" w:ascii="仿宋_GB2312" w:hAnsi="宋体" w:eastAsia="仿宋_GB2312" w:cs="宋体"/>
                <w:bCs/>
                <w:color w:val="000000"/>
                <w:kern w:val="0"/>
                <w:szCs w:val="21"/>
              </w:rPr>
              <w:t>近一期较最近一个会计年度期末无重大变化的，最低信息披露时间要求为年度。</w:t>
            </w:r>
          </w:p>
        </w:tc>
      </w:tr>
      <w:tr>
        <w:tblPrEx>
          <w:tblCellMar>
            <w:top w:w="0" w:type="dxa"/>
            <w:left w:w="108" w:type="dxa"/>
            <w:bottom w:w="0" w:type="dxa"/>
            <w:right w:w="108" w:type="dxa"/>
          </w:tblCellMar>
        </w:tblPrEx>
        <w:trPr>
          <w:trHeight w:val="1728"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四）计划说明书应当采用列表形式披露特定原始权益人最近一个会计年度期末有息债务的总余额、债务类别、债务期限结构、信用融资与担保融资的结构等情况。报告期内存在有息债务增长较快、资产负债率较高、有息债务结构发生大幅变化等情形的，应当采用列表形式披露报告期各期末全口径有息债务的上述信息</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bCs/>
                <w:color w:val="000000"/>
                <w:kern w:val="0"/>
                <w:szCs w:val="21"/>
              </w:rPr>
              <w:t>原则上豁免披露</w:t>
            </w:r>
            <w:r>
              <w:rPr>
                <w:rFonts w:hint="eastAsia" w:ascii="仿宋_GB2312" w:hAnsi="宋体" w:eastAsia="仿宋_GB2312" w:cs="宋体"/>
                <w:color w:val="000000"/>
                <w:kern w:val="0"/>
                <w:szCs w:val="21"/>
              </w:rPr>
              <w:t>信用融资与担保融资的结构等情况、报告期各期末全口径有息债务信息。</w:t>
            </w:r>
          </w:p>
        </w:tc>
      </w:tr>
      <w:tr>
        <w:tblPrEx>
          <w:tblCellMar>
            <w:top w:w="0" w:type="dxa"/>
            <w:left w:w="108" w:type="dxa"/>
            <w:bottom w:w="0" w:type="dxa"/>
            <w:right w:w="108" w:type="dxa"/>
          </w:tblCellMar>
        </w:tblPrEx>
        <w:trPr>
          <w:trHeight w:val="1728"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（五）融资情况以及信用表现的有关内容：</w:t>
            </w:r>
            <w:r>
              <w:rPr>
                <w:rFonts w:ascii="仿宋_GB2312" w:hAnsi="宋体" w:eastAsia="仿宋_GB2312" w:cs="宋体"/>
                <w:color w:val="000000"/>
                <w:kern w:val="0"/>
                <w:szCs w:val="21"/>
              </w:rPr>
              <w:br w:type="textWrapping"/>
            </w:r>
            <w:r>
              <w:rPr>
                <w:rFonts w:ascii="仿宋_GB2312" w:hAnsi="宋体" w:eastAsia="仿宋_GB2312" w:cs="宋体"/>
                <w:color w:val="000000"/>
                <w:kern w:val="0"/>
                <w:szCs w:val="21"/>
              </w:rPr>
              <w:t>1．合并报表范围内获得主要贷款银行的授信情况以及使用情况</w:t>
            </w:r>
            <w:r>
              <w:rPr>
                <w:rFonts w:hint="eastAsia" w:ascii="仿宋_GB2312" w:hAnsi="宋体" w:eastAsia="仿宋_GB2312" w:cs="宋体"/>
                <w:color w:val="000000"/>
                <w:kern w:val="0"/>
                <w:szCs w:val="21"/>
              </w:rPr>
              <w:t>；</w:t>
            </w:r>
            <w:r>
              <w:rPr>
                <w:rFonts w:ascii="仿宋_GB2312" w:hAnsi="宋体" w:eastAsia="仿宋_GB2312" w:cs="宋体"/>
                <w:color w:val="000000"/>
                <w:kern w:val="0"/>
                <w:szCs w:val="21"/>
              </w:rPr>
              <w:br w:type="textWrapping"/>
            </w:r>
            <w:r>
              <w:rPr>
                <w:rFonts w:ascii="仿宋_GB2312" w:hAnsi="宋体" w:eastAsia="仿宋_GB2312" w:cs="宋体"/>
                <w:color w:val="000000"/>
                <w:kern w:val="0"/>
                <w:szCs w:val="21"/>
              </w:rPr>
              <w:t>2．截至报告期期末境内外债券存续情况，以及尚未发行的各债券品种额度</w:t>
            </w:r>
            <w:r>
              <w:rPr>
                <w:rFonts w:hint="eastAsia" w:ascii="仿宋_GB2312" w:hAnsi="宋体" w:eastAsia="仿宋_GB2312" w:cs="宋体"/>
                <w:color w:val="000000"/>
                <w:kern w:val="0"/>
                <w:szCs w:val="21"/>
              </w:rPr>
              <w:t>；</w:t>
            </w:r>
            <w:r>
              <w:rPr>
                <w:rFonts w:ascii="仿宋_GB2312" w:hAnsi="宋体" w:eastAsia="仿宋_GB2312" w:cs="宋体"/>
                <w:color w:val="000000"/>
                <w:kern w:val="0"/>
                <w:szCs w:val="21"/>
              </w:rPr>
              <w:br w:type="textWrapping"/>
            </w:r>
            <w:r>
              <w:rPr>
                <w:rFonts w:ascii="仿宋_GB2312" w:hAnsi="宋体" w:eastAsia="仿宋_GB2312" w:cs="宋体"/>
                <w:color w:val="000000"/>
                <w:kern w:val="0"/>
                <w:szCs w:val="21"/>
              </w:rPr>
              <w:t xml:space="preserve">3. </w:t>
            </w:r>
            <w:r>
              <w:rPr>
                <w:rFonts w:hint="eastAsia" w:ascii="仿宋_GB2312" w:hAnsi="宋体" w:eastAsia="仿宋_GB2312" w:cs="宋体"/>
                <w:color w:val="000000"/>
                <w:kern w:val="0"/>
                <w:szCs w:val="21"/>
              </w:rPr>
              <w:t>公开市场信用评级（如有）、资信评级机构名称、评级时间和评级结论；</w:t>
            </w:r>
            <w:r>
              <w:rPr>
                <w:rFonts w:ascii="仿宋_GB2312" w:hAnsi="宋体" w:eastAsia="仿宋_GB2312" w:cs="宋体"/>
                <w:color w:val="000000"/>
                <w:kern w:val="0"/>
                <w:szCs w:val="21"/>
              </w:rPr>
              <w:br w:type="textWrapping"/>
            </w:r>
            <w:r>
              <w:rPr>
                <w:rFonts w:ascii="仿宋_GB2312" w:hAnsi="宋体" w:eastAsia="仿宋_GB2312" w:cs="宋体"/>
                <w:color w:val="000000"/>
                <w:kern w:val="0"/>
                <w:szCs w:val="21"/>
              </w:rPr>
              <w:t>4．债务违约记录以及有关情况</w:t>
            </w:r>
            <w:r>
              <w:rPr>
                <w:rFonts w:hint="eastAsia" w:ascii="仿宋_GB2312" w:hAnsi="宋体" w:eastAsia="仿宋_GB2312" w:cs="宋体"/>
                <w:color w:val="000000"/>
                <w:kern w:val="0"/>
                <w:szCs w:val="21"/>
              </w:rPr>
              <w:t>；</w:t>
            </w:r>
            <w:r>
              <w:rPr>
                <w:rFonts w:ascii="仿宋_GB2312" w:hAnsi="宋体" w:eastAsia="仿宋_GB2312" w:cs="宋体"/>
                <w:color w:val="000000"/>
                <w:kern w:val="0"/>
                <w:szCs w:val="21"/>
              </w:rPr>
              <w:br w:type="textWrapping"/>
            </w:r>
            <w:r>
              <w:rPr>
                <w:rFonts w:ascii="仿宋_GB2312" w:hAnsi="宋体" w:eastAsia="仿宋_GB2312" w:cs="宋体"/>
                <w:color w:val="000000"/>
                <w:kern w:val="0"/>
                <w:szCs w:val="21"/>
              </w:rPr>
              <w:t>5．报告期内重大违约、虚假信息披露或者其他重大违法违规行为记录，以及是否存在因严重违法失信行为，被有权部门认定为失信被执行人、失信生产经营单位或者其他失信单位，并被暂停或限制进行融资的情形</w:t>
            </w:r>
            <w:r>
              <w:rPr>
                <w:rFonts w:hint="eastAsia" w:ascii="仿宋_GB2312" w:hAnsi="宋体" w:eastAsia="仿宋_GB2312" w:cs="宋体"/>
                <w:color w:val="000000"/>
                <w:kern w:val="0"/>
                <w:szCs w:val="21"/>
              </w:rPr>
              <w:t>。</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bCs/>
                <w:color w:val="000000"/>
                <w:kern w:val="0"/>
                <w:szCs w:val="21"/>
              </w:rPr>
              <w:t>近一期较最近一个会计年度期末无重大变化的，原则上仅需披露至最近一个会计年度期末的情况。</w:t>
            </w:r>
          </w:p>
          <w:p>
            <w:pPr>
              <w:widowControl/>
              <w:jc w:val="left"/>
              <w:rPr>
                <w:rFonts w:ascii="仿宋_GB2312" w:hAnsi="宋体" w:eastAsia="仿宋_GB2312" w:cs="宋体"/>
                <w:bCs/>
                <w:color w:val="000000"/>
                <w:kern w:val="0"/>
                <w:szCs w:val="21"/>
              </w:rPr>
            </w:pPr>
            <w:r>
              <w:rPr>
                <w:rFonts w:hint="eastAsia" w:ascii="仿宋_GB2312" w:hAnsi="宋体" w:eastAsia="仿宋_GB2312" w:cs="宋体"/>
                <w:color w:val="000000"/>
                <w:kern w:val="0"/>
                <w:szCs w:val="21"/>
              </w:rPr>
              <w:t>原则上豁免披露授信情况及使用情况的明细、境内外债券明细。</w:t>
            </w:r>
          </w:p>
        </w:tc>
      </w:tr>
      <w:tr>
        <w:tblPrEx>
          <w:tblCellMar>
            <w:top w:w="0" w:type="dxa"/>
            <w:left w:w="108" w:type="dxa"/>
            <w:bottom w:w="0" w:type="dxa"/>
            <w:right w:w="108" w:type="dxa"/>
          </w:tblCellMar>
        </w:tblPrEx>
        <w:trPr>
          <w:trHeight w:val="2364" w:hRule="atLeast"/>
          <w:jc w:val="center"/>
        </w:trPr>
        <w:tc>
          <w:tcPr>
            <w:tcW w:w="190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color w:val="000000"/>
                <w:kern w:val="0"/>
                <w:szCs w:val="21"/>
              </w:rPr>
            </w:pPr>
          </w:p>
        </w:tc>
        <w:tc>
          <w:tcPr>
            <w:tcW w:w="552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（六）其他重大事项：</w:t>
            </w:r>
            <w:r>
              <w:rPr>
                <w:rFonts w:ascii="仿宋_GB2312" w:hAnsi="宋体" w:eastAsia="仿宋_GB2312" w:cs="宋体"/>
                <w:color w:val="000000"/>
                <w:kern w:val="0"/>
                <w:szCs w:val="21"/>
              </w:rPr>
              <w:br w:type="textWrapping"/>
            </w:r>
            <w:r>
              <w:rPr>
                <w:rFonts w:ascii="仿宋_GB2312" w:hAnsi="宋体" w:eastAsia="仿宋_GB2312" w:cs="宋体"/>
                <w:color w:val="000000"/>
                <w:kern w:val="0"/>
                <w:szCs w:val="21"/>
              </w:rPr>
              <w:t>1.特定原始权益人最近一个会计年度期末对外担保余额。对于预计可能产生较大损失的，管理人应当对可能产生的损失作合理估计并披露可能产生的损失金额及其对偿债能力的影响</w:t>
            </w:r>
            <w:r>
              <w:rPr>
                <w:rFonts w:hint="eastAsia" w:ascii="仿宋_GB2312" w:hAnsi="宋体" w:eastAsia="仿宋_GB2312" w:cs="宋体"/>
                <w:color w:val="000000"/>
                <w:kern w:val="0"/>
                <w:szCs w:val="21"/>
              </w:rPr>
              <w:t>；</w:t>
            </w:r>
            <w:r>
              <w:rPr>
                <w:rFonts w:ascii="仿宋_GB2312" w:hAnsi="宋体" w:eastAsia="仿宋_GB2312" w:cs="宋体"/>
                <w:color w:val="000000"/>
                <w:kern w:val="0"/>
                <w:szCs w:val="21"/>
              </w:rPr>
              <w:br w:type="textWrapping"/>
            </w:r>
            <w:r>
              <w:rPr>
                <w:rFonts w:ascii="仿宋_GB2312" w:hAnsi="宋体" w:eastAsia="仿宋_GB2312" w:cs="宋体"/>
                <w:color w:val="000000"/>
                <w:kern w:val="0"/>
                <w:szCs w:val="21"/>
              </w:rPr>
              <w:t>2.资产存在的抵押、质押、担保和其他具有可对抗第三人的优先偿付负债情况</w:t>
            </w:r>
            <w:r>
              <w:rPr>
                <w:rFonts w:hint="eastAsia" w:ascii="仿宋_GB2312" w:hAnsi="宋体" w:eastAsia="仿宋_GB2312" w:cs="宋体"/>
                <w:color w:val="000000"/>
                <w:kern w:val="0"/>
                <w:szCs w:val="21"/>
              </w:rPr>
              <w:t>；</w:t>
            </w:r>
            <w:r>
              <w:rPr>
                <w:rFonts w:ascii="仿宋_GB2312" w:hAnsi="宋体" w:eastAsia="仿宋_GB2312" w:cs="宋体"/>
                <w:color w:val="000000"/>
                <w:kern w:val="0"/>
                <w:szCs w:val="21"/>
              </w:rPr>
              <w:br w:type="textWrapping"/>
            </w:r>
            <w:r>
              <w:rPr>
                <w:rFonts w:ascii="仿宋_GB2312" w:hAnsi="宋体" w:eastAsia="仿宋_GB2312" w:cs="宋体"/>
                <w:color w:val="000000"/>
                <w:kern w:val="0"/>
                <w:szCs w:val="21"/>
              </w:rPr>
              <w:t>3.未决诉讼、仲裁等重大或有事项或者承诺事项</w:t>
            </w:r>
            <w:r>
              <w:rPr>
                <w:rFonts w:hint="eastAsia" w:ascii="仿宋_GB2312" w:hAnsi="宋体" w:eastAsia="仿宋_GB2312" w:cs="宋体"/>
                <w:color w:val="000000"/>
                <w:kern w:val="0"/>
                <w:szCs w:val="21"/>
              </w:rPr>
              <w:t>。</w:t>
            </w:r>
          </w:p>
        </w:tc>
        <w:tc>
          <w:tcPr>
            <w:tcW w:w="32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bCs/>
                <w:color w:val="000000"/>
                <w:kern w:val="0"/>
                <w:szCs w:val="21"/>
              </w:rPr>
              <w:t>近一期较最近一个会计年度期末无重大变化的，原则上仅</w:t>
            </w:r>
            <w:r>
              <w:rPr>
                <w:rFonts w:hint="eastAsia" w:ascii="仿宋_GB2312" w:hAnsi="宋体" w:eastAsia="仿宋_GB2312" w:cs="宋体"/>
                <w:color w:val="000000"/>
                <w:kern w:val="0"/>
                <w:szCs w:val="21"/>
              </w:rPr>
              <w:t>列表披露最近一个会计年度末对外担保余额、受限资产余额、违约诉讼或仲裁涉案金额。</w:t>
            </w:r>
          </w:p>
        </w:tc>
      </w:tr>
      <w:tr>
        <w:tblPrEx>
          <w:tblCellMar>
            <w:top w:w="0" w:type="dxa"/>
            <w:left w:w="108" w:type="dxa"/>
            <w:bottom w:w="0" w:type="dxa"/>
            <w:right w:w="108" w:type="dxa"/>
          </w:tblCellMar>
        </w:tblPrEx>
        <w:trPr>
          <w:trHeight w:val="576" w:hRule="atLeast"/>
          <w:jc w:val="center"/>
        </w:trPr>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《资产支持证券指引第</w:t>
            </w:r>
            <w:r>
              <w:rPr>
                <w:rFonts w:ascii="仿宋_GB2312" w:hAnsi="宋体" w:eastAsia="仿宋_GB2312" w:cs="宋体"/>
                <w:color w:val="000000"/>
                <w:kern w:val="0"/>
                <w:szCs w:val="21"/>
              </w:rPr>
              <w:t xml:space="preserve">1号》第2.4.4条、第2.4.5条、第3.6.5 </w:t>
            </w:r>
            <w:r>
              <w:rPr>
                <w:rFonts w:hint="eastAsia" w:ascii="仿宋_GB2312" w:hAnsi="宋体" w:eastAsia="仿宋_GB2312" w:cs="宋体"/>
                <w:color w:val="000000"/>
                <w:kern w:val="0"/>
                <w:szCs w:val="21"/>
              </w:rPr>
              <w:t>条</w:t>
            </w: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特定原始权益人存在重大不利变化、被媒体质疑等重大事项的，管理人应当披露相关情况。</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列表逐条核查并披露是否存在相关情形。</w:t>
            </w:r>
          </w:p>
        </w:tc>
      </w:tr>
      <w:tr>
        <w:tblPrEx>
          <w:tblCellMar>
            <w:top w:w="0" w:type="dxa"/>
            <w:left w:w="108" w:type="dxa"/>
            <w:bottom w:w="0" w:type="dxa"/>
            <w:right w:w="108" w:type="dxa"/>
          </w:tblCellMar>
        </w:tblPrEx>
        <w:trPr>
          <w:trHeight w:val="576" w:hRule="atLeast"/>
          <w:jc w:val="center"/>
        </w:trPr>
        <w:tc>
          <w:tcPr>
            <w:tcW w:w="1900" w:type="dxa"/>
            <w:vMerge w:val="restart"/>
            <w:tcBorders>
              <w:top w:val="single" w:color="auto" w:sz="4" w:space="0"/>
              <w:left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《资产支持证券指引第</w:t>
            </w:r>
            <w:r>
              <w:rPr>
                <w:rFonts w:ascii="仿宋_GB2312" w:hAnsi="宋体" w:eastAsia="仿宋_GB2312" w:cs="宋体"/>
                <w:color w:val="000000"/>
                <w:kern w:val="0"/>
                <w:szCs w:val="21"/>
              </w:rPr>
              <w:t>1号》第3.6.13条</w:t>
            </w: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计划说明书应当披露担保人、差额支付承诺人、流动性支持机构、债务加入人等增信机构下列基本情况：</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索引披露。若不存在一年内可索引的公开披露的文件，参照以下要求披露。</w:t>
            </w:r>
          </w:p>
        </w:tc>
      </w:tr>
      <w:tr>
        <w:tblPrEx>
          <w:tblCellMar>
            <w:top w:w="0" w:type="dxa"/>
            <w:left w:w="108" w:type="dxa"/>
            <w:bottom w:w="0" w:type="dxa"/>
            <w:right w:w="108" w:type="dxa"/>
          </w:tblCellMar>
        </w:tblPrEx>
        <w:trPr>
          <w:trHeight w:val="576" w:hRule="atLeast"/>
          <w:jc w:val="center"/>
        </w:trPr>
        <w:tc>
          <w:tcPr>
            <w:tcW w:w="1900" w:type="dxa"/>
            <w:vMerge w:val="continue"/>
            <w:tcBorders>
              <w:left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（一）公司设立、存续情况，股权结构、组织架构、治理结构，本次增信是否已履行必要的内外部决策程序；</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原则上可以组织结构图形式披露治理结构、组织机构设置，结论性披露运行情况，针对性披露前述机制存在特殊或运行异常情况。</w:t>
            </w:r>
            <w:r>
              <w:rPr>
                <w:rFonts w:ascii="仿宋_GB2312" w:hAnsi="宋体" w:eastAsia="仿宋_GB2312" w:cs="宋体"/>
                <w:color w:val="000000"/>
                <w:kern w:val="0"/>
                <w:szCs w:val="21"/>
              </w:rPr>
              <w:br w:type="textWrapping"/>
            </w:r>
            <w:r>
              <w:rPr>
                <w:rFonts w:hint="eastAsia" w:ascii="仿宋_GB2312" w:hAnsi="宋体" w:eastAsia="仿宋_GB2312" w:cs="宋体"/>
                <w:color w:val="000000"/>
                <w:kern w:val="0"/>
                <w:szCs w:val="21"/>
              </w:rPr>
              <w:t>已履行内外部决策程序情况应当披露。</w:t>
            </w:r>
          </w:p>
        </w:tc>
      </w:tr>
      <w:tr>
        <w:tblPrEx>
          <w:tblCellMar>
            <w:top w:w="0" w:type="dxa"/>
            <w:left w:w="108" w:type="dxa"/>
            <w:bottom w:w="0" w:type="dxa"/>
            <w:right w:w="108" w:type="dxa"/>
          </w:tblCellMar>
        </w:tblPrEx>
        <w:trPr>
          <w:trHeight w:val="576" w:hRule="atLeast"/>
          <w:jc w:val="center"/>
        </w:trPr>
        <w:tc>
          <w:tcPr>
            <w:tcW w:w="1900" w:type="dxa"/>
            <w:vMerge w:val="continue"/>
            <w:tcBorders>
              <w:left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（二）公司资信水平以及外部信用评级（如有）情况、历史信用表现；</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应当披露。</w:t>
            </w:r>
          </w:p>
        </w:tc>
      </w:tr>
      <w:tr>
        <w:tblPrEx>
          <w:tblCellMar>
            <w:top w:w="0" w:type="dxa"/>
            <w:left w:w="108" w:type="dxa"/>
            <w:bottom w:w="0" w:type="dxa"/>
            <w:right w:w="108" w:type="dxa"/>
          </w:tblCellMar>
        </w:tblPrEx>
        <w:trPr>
          <w:trHeight w:val="576" w:hRule="atLeast"/>
          <w:jc w:val="center"/>
        </w:trPr>
        <w:tc>
          <w:tcPr>
            <w:tcW w:w="1900" w:type="dxa"/>
            <w:vMerge w:val="continue"/>
            <w:tcBorders>
              <w:left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（三）公司最近三年各项主营业务情况、财务报表、主要财务指标分析以及历史信用表现；主要债务情况、授信使用状况、对外担保情况等；</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原则上列表披露</w:t>
            </w:r>
            <w:r>
              <w:rPr>
                <w:rFonts w:hint="eastAsia" w:ascii="仿宋_GB2312" w:hAnsi="宋体" w:eastAsia="仿宋_GB2312" w:cs="宋体"/>
                <w:bCs/>
                <w:color w:val="000000"/>
                <w:kern w:val="0"/>
                <w:szCs w:val="21"/>
              </w:rPr>
              <w:t>最近一年及一期主营业务情况、财务报表</w:t>
            </w:r>
            <w:r>
              <w:rPr>
                <w:rFonts w:hint="eastAsia" w:ascii="仿宋_GB2312" w:hAnsi="宋体" w:eastAsia="仿宋_GB2312" w:cs="宋体"/>
                <w:color w:val="000000"/>
                <w:kern w:val="0"/>
                <w:szCs w:val="21"/>
              </w:rPr>
              <w:t>数据。</w:t>
            </w:r>
          </w:p>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原则上可以仅对近一年及近一期占总资产百分之二十以上的资产类报表项目、占总负债百分之二十以上的负债类报表项目以及变化幅度在百分之三十以上的报表项目，分析变动情况及变动原因。</w:t>
            </w:r>
          </w:p>
          <w:p>
            <w:pPr>
              <w:widowControl/>
              <w:jc w:val="left"/>
              <w:rPr>
                <w:rFonts w:ascii="仿宋_GB2312" w:hAnsi="宋体" w:eastAsia="仿宋_GB2312" w:cs="宋体"/>
                <w:color w:val="000000"/>
                <w:kern w:val="0"/>
                <w:szCs w:val="21"/>
              </w:rPr>
            </w:pPr>
            <w:r>
              <w:rPr>
                <w:rFonts w:hint="eastAsia" w:ascii="仿宋_GB2312" w:hAnsi="宋体" w:eastAsia="仿宋_GB2312" w:cs="宋体"/>
                <w:bCs/>
                <w:color w:val="000000"/>
                <w:kern w:val="0"/>
                <w:szCs w:val="21"/>
              </w:rPr>
              <w:t>近一期较最近一个会计年度期末无重大变化的</w:t>
            </w:r>
            <w:r>
              <w:rPr>
                <w:rFonts w:hint="eastAsia" w:ascii="仿宋_GB2312" w:hAnsi="宋体" w:eastAsia="仿宋_GB2312" w:cs="宋体"/>
                <w:color w:val="000000"/>
                <w:kern w:val="0"/>
                <w:szCs w:val="21"/>
              </w:rPr>
              <w:t>，</w:t>
            </w:r>
            <w:r>
              <w:rPr>
                <w:rFonts w:hint="eastAsia" w:ascii="仿宋_GB2312" w:hAnsi="宋体" w:eastAsia="仿宋_GB2312" w:cs="宋体"/>
                <w:bCs/>
                <w:color w:val="000000"/>
                <w:kern w:val="0"/>
                <w:szCs w:val="21"/>
              </w:rPr>
              <w:t>最低信息披露时间要求为年度。</w:t>
            </w:r>
          </w:p>
        </w:tc>
      </w:tr>
      <w:tr>
        <w:tblPrEx>
          <w:tblCellMar>
            <w:top w:w="0" w:type="dxa"/>
            <w:left w:w="108" w:type="dxa"/>
            <w:bottom w:w="0" w:type="dxa"/>
            <w:right w:w="108" w:type="dxa"/>
          </w:tblCellMar>
        </w:tblPrEx>
        <w:trPr>
          <w:trHeight w:val="576" w:hRule="atLeast"/>
          <w:jc w:val="center"/>
        </w:trPr>
        <w:tc>
          <w:tcPr>
            <w:tcW w:w="1900" w:type="dxa"/>
            <w:vMerge w:val="continue"/>
            <w:tcBorders>
              <w:left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（四）业务审批或管理流程、风险控制措施，包括杠杆倍数（如有）在内的与偿付能力相关的指标，公司历史代偿情况等；</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若非专业融资担保公司，原则上</w:t>
            </w:r>
            <w:r>
              <w:rPr>
                <w:rFonts w:hint="eastAsia" w:ascii="仿宋_GB2312" w:hAnsi="宋体" w:eastAsia="仿宋_GB2312" w:cs="宋体"/>
                <w:bCs/>
                <w:color w:val="000000"/>
                <w:kern w:val="0"/>
                <w:szCs w:val="21"/>
              </w:rPr>
              <w:t>豁免披露</w:t>
            </w:r>
            <w:r>
              <w:rPr>
                <w:rFonts w:hint="eastAsia" w:ascii="仿宋_GB2312" w:hAnsi="宋体" w:eastAsia="仿宋_GB2312" w:cs="宋体"/>
                <w:color w:val="000000"/>
                <w:kern w:val="0"/>
                <w:szCs w:val="21"/>
              </w:rPr>
              <w:t>。</w:t>
            </w:r>
          </w:p>
        </w:tc>
      </w:tr>
      <w:tr>
        <w:tblPrEx>
          <w:tblCellMar>
            <w:top w:w="0" w:type="dxa"/>
            <w:left w:w="108" w:type="dxa"/>
            <w:bottom w:w="0" w:type="dxa"/>
            <w:right w:w="108" w:type="dxa"/>
          </w:tblCellMar>
        </w:tblPrEx>
        <w:trPr>
          <w:trHeight w:val="79" w:hRule="atLeast"/>
          <w:jc w:val="center"/>
        </w:trPr>
        <w:tc>
          <w:tcPr>
            <w:tcW w:w="1900"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（五）增信机构为原始权益人控股股东或实际控制人的，还应当披露增信机构所拥有的除原始权益人股权外的其他主要资产，以及该部分资产的权利限制、是否存在后续权利限制安排。</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bCs/>
                <w:color w:val="000000"/>
                <w:kern w:val="0"/>
                <w:szCs w:val="21"/>
              </w:rPr>
              <w:t>原则上豁免披露。</w:t>
            </w:r>
          </w:p>
        </w:tc>
      </w:tr>
      <w:tr>
        <w:tblPrEx>
          <w:tblCellMar>
            <w:top w:w="0" w:type="dxa"/>
            <w:left w:w="108" w:type="dxa"/>
            <w:bottom w:w="0" w:type="dxa"/>
            <w:right w:w="108" w:type="dxa"/>
          </w:tblCellMar>
        </w:tblPrEx>
        <w:trPr>
          <w:trHeight w:val="576" w:hRule="atLeast"/>
          <w:jc w:val="center"/>
        </w:trPr>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《资产支持证券指引第</w:t>
            </w:r>
            <w:r>
              <w:rPr>
                <w:rFonts w:ascii="仿宋_GB2312" w:hAnsi="宋体" w:eastAsia="仿宋_GB2312" w:cs="宋体"/>
                <w:color w:val="000000"/>
                <w:kern w:val="0"/>
                <w:szCs w:val="21"/>
              </w:rPr>
              <w:t>2号》第2.4.4条、第2.4.5条</w:t>
            </w:r>
          </w:p>
        </w:tc>
        <w:tc>
          <w:tcPr>
            <w:tcW w:w="5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Cs w:val="21"/>
              </w:rPr>
            </w:pPr>
            <w:r>
              <w:rPr>
                <w:rFonts w:hint="eastAsia" w:ascii="仿宋_GB2312" w:hAnsi="宋体" w:eastAsia="仿宋_GB2312" w:cs="宋体"/>
                <w:color w:val="000000"/>
                <w:kern w:val="0"/>
                <w:szCs w:val="21"/>
              </w:rPr>
              <w:t>增信机构存在重大不利变化、失信被执行人等重大事项的，管理人应当披露相关情况。</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b/>
                <w:bCs/>
                <w:color w:val="000000"/>
                <w:kern w:val="0"/>
                <w:szCs w:val="21"/>
              </w:rPr>
            </w:pPr>
            <w:r>
              <w:rPr>
                <w:rFonts w:hint="eastAsia" w:ascii="仿宋_GB2312" w:hAnsi="宋体" w:eastAsia="仿宋_GB2312" w:cs="宋体"/>
                <w:color w:val="000000"/>
                <w:kern w:val="0"/>
                <w:szCs w:val="21"/>
              </w:rPr>
              <w:t>列表逐条核查并披露是否存在相关情形。</w:t>
            </w:r>
          </w:p>
        </w:tc>
      </w:tr>
    </w:tbl>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第二十二条</w:t>
      </w:r>
      <w:r>
        <w:rPr>
          <w:rFonts w:ascii="仿宋_GB2312" w:hAnsi="黑体" w:eastAsia="仿宋_GB2312"/>
          <w:sz w:val="32"/>
          <w:szCs w:val="32"/>
        </w:rPr>
        <w:t xml:space="preserve"> </w:t>
      </w:r>
      <w:r>
        <w:rPr>
          <w:rFonts w:hint="eastAsia" w:ascii="仿宋_GB2312" w:hAnsi="黑体" w:eastAsia="仿宋_GB2312"/>
          <w:sz w:val="32"/>
          <w:szCs w:val="32"/>
        </w:rPr>
        <w:t>计划说明书中，依照《资产支持证券指引第</w:t>
      </w:r>
      <w:r>
        <w:rPr>
          <w:rFonts w:ascii="仿宋_GB2312" w:hAnsi="黑体" w:eastAsia="仿宋_GB2312"/>
          <w:sz w:val="32"/>
          <w:szCs w:val="32"/>
        </w:rPr>
        <w:t>1号》第3.6.1条、3.6.3条、第3.6.4条、第3.6.6条、第3.6.13条规定应当披露的优质发起人“基本情况”“历史沿革”“主营业务情况”“财务状况”等章节内容，已经在公开发行或公开转让的股票或债券的募集说明书、招股说明书、公开转让说明书、上市公告书、定期报告和临时报告等相关监督管理机构规定的信息披露渠道披露过的信息，经计划管理人核查不存在重大不利变化或其他特殊情形的，可以采用索引的方法进行披露。</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依照前款规定采用索引方式的，计划管理人应当在相应章节以列表形式概述章节信息披露方式和索引内容查询方式（格式参考附件6</w:t>
      </w:r>
      <w:r>
        <w:rPr>
          <w:rFonts w:ascii="仿宋_GB2312" w:hAnsi="黑体" w:eastAsia="仿宋_GB2312"/>
          <w:sz w:val="32"/>
          <w:szCs w:val="32"/>
        </w:rPr>
        <w:t>）。</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索引的内容也是计划说明书的组成部分，信息披露义务人应对其承担相应的法律责任。</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不存在可索引的公开披露的文件，且经计划管理人核查认为发起人最近一个会计年度期末以来经营和财务指标无重大不利变化、不存在对偿债能力产生重大影响的事项的，计划管理人可以简要披露相关信息（具体格式见附件</w:t>
      </w:r>
      <w:r>
        <w:rPr>
          <w:rFonts w:ascii="仿宋_GB2312" w:hAnsi="黑体" w:eastAsia="仿宋_GB2312"/>
          <w:sz w:val="32"/>
          <w:szCs w:val="32"/>
        </w:rPr>
        <w:t>8）。</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第二十三条</w:t>
      </w:r>
      <w:r>
        <w:rPr>
          <w:rFonts w:ascii="仿宋_GB2312" w:hAnsi="黑体" w:eastAsia="仿宋_GB2312"/>
          <w:sz w:val="32"/>
          <w:szCs w:val="32"/>
        </w:rPr>
        <w:t xml:space="preserve"> </w:t>
      </w:r>
      <w:r>
        <w:rPr>
          <w:rFonts w:hint="eastAsia" w:ascii="仿宋_GB2312" w:hAnsi="黑体" w:eastAsia="仿宋_GB2312"/>
          <w:sz w:val="32"/>
          <w:szCs w:val="32"/>
        </w:rPr>
        <w:t>优质发起人可以按照《上海证券交易所资产支持证券挂牌条件确认规则适用指引第</w:t>
      </w:r>
      <w:r>
        <w:rPr>
          <w:rFonts w:ascii="仿宋_GB2312" w:hAnsi="黑体" w:eastAsia="仿宋_GB2312"/>
          <w:sz w:val="32"/>
          <w:szCs w:val="32"/>
        </w:rPr>
        <w:t>3号——分类审核》</w:t>
      </w:r>
      <w:r>
        <w:rPr>
          <w:rFonts w:hint="eastAsia" w:ascii="仿宋_GB2312" w:hAnsi="黑体" w:eastAsia="仿宋_GB2312"/>
          <w:sz w:val="32"/>
          <w:szCs w:val="32"/>
        </w:rPr>
        <w:t>的规定延长财务数据有效期，年度财务报告有效期最多延长至当年</w:t>
      </w:r>
      <w:r>
        <w:rPr>
          <w:rFonts w:ascii="仿宋_GB2312" w:hAnsi="黑体" w:eastAsia="仿宋_GB2312"/>
          <w:sz w:val="32"/>
          <w:szCs w:val="32"/>
        </w:rPr>
        <w:t>8</w:t>
      </w:r>
      <w:r>
        <w:rPr>
          <w:rFonts w:hint="eastAsia" w:ascii="仿宋_GB2312" w:hAnsi="黑体" w:eastAsia="仿宋_GB2312"/>
          <w:sz w:val="32"/>
          <w:szCs w:val="32"/>
        </w:rPr>
        <w:t>月末，半年度财务报告有效期最多延长至次年</w:t>
      </w:r>
      <w:r>
        <w:rPr>
          <w:rFonts w:ascii="仿宋_GB2312" w:hAnsi="黑体" w:eastAsia="仿宋_GB2312"/>
          <w:sz w:val="32"/>
          <w:szCs w:val="32"/>
        </w:rPr>
        <w:t>4</w:t>
      </w:r>
      <w:r>
        <w:rPr>
          <w:rFonts w:hint="eastAsia" w:ascii="仿宋_GB2312" w:hAnsi="黑体" w:eastAsia="仿宋_GB2312"/>
          <w:sz w:val="32"/>
          <w:szCs w:val="32"/>
        </w:rPr>
        <w:t>月末。优质发起人申请延长财务报告有效期的，应当按照《资产支持证券指引第</w:t>
      </w:r>
      <w:r>
        <w:rPr>
          <w:rFonts w:ascii="仿宋_GB2312" w:hAnsi="黑体" w:eastAsia="仿宋_GB2312"/>
          <w:sz w:val="32"/>
          <w:szCs w:val="32"/>
        </w:rPr>
        <w:t>1号》的要求，向本所提交财务报告延期申请。</w:t>
      </w:r>
      <w:r>
        <w:rPr>
          <w:rFonts w:hint="eastAsia" w:ascii="仿宋_GB2312" w:hAnsi="黑体" w:eastAsia="仿宋_GB2312"/>
          <w:sz w:val="32"/>
          <w:szCs w:val="32"/>
        </w:rPr>
        <w:t>计划管理人可以采用列表形式，就半年度财务报告中变动超过百分之三十的科目简要说明原因（格式参考附件</w:t>
      </w:r>
      <w:r>
        <w:rPr>
          <w:rFonts w:ascii="仿宋_GB2312" w:hAnsi="黑体" w:eastAsia="仿宋_GB2312"/>
          <w:sz w:val="32"/>
          <w:szCs w:val="32"/>
        </w:rPr>
        <w:t>5）。</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优质发起人根据相关规定延长财务数据有效期，但已在公开市场披露最新一期季度财务报告的，计划管理人可以采用索引的方式，在计划说明书首页“重大事项提示”披露最新一期财务报告查询方式，列示最新一期财务报告主营业务收入、净利润、总资产、净资产等主要财务数据和财务指标，并在“特定原始权益人、管理人和其他主要业务参与人情况”章节中披露最新一期“主要财务数据和财务指标表”。</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优质发起人已在其他场所披露季度财务报告但未采取公开披露方式，不存在可索引的公开披露的文件的，计划管理人应当在“特定原始权益人、管理人和其他主要业务参与人情况”章节中披露优质发起人最新一期财务报告。</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第二十四条</w:t>
      </w:r>
      <w:r>
        <w:rPr>
          <w:rFonts w:ascii="仿宋_GB2312" w:hAnsi="黑体" w:eastAsia="仿宋_GB2312"/>
          <w:sz w:val="32"/>
          <w:szCs w:val="32"/>
        </w:rPr>
        <w:t xml:space="preserve"> </w:t>
      </w:r>
      <w:r>
        <w:rPr>
          <w:rFonts w:hint="eastAsia" w:ascii="仿宋_GB2312" w:hAnsi="黑体" w:eastAsia="仿宋_GB2312"/>
          <w:sz w:val="32"/>
          <w:szCs w:val="32"/>
        </w:rPr>
        <w:t>专项计划年度资产管理报告中，特定原始权益人或核心企业审计报告及财务信息已经在公开发行或公开转让的股票或债券的募集说明书、招股说明书、公开转让说明书、上市公告书、定期报告和临时报告等法定信息披露文件或者媒体披露，经计划管理人核查无重大不利变化或其他特殊情形的，计划管理人可采用索引的方法进行披露。</w:t>
      </w: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索引的内容也是年度资产管理报告的组成部分，计划管理人应对其承担相应的法律责任。</w:t>
      </w:r>
    </w:p>
    <w:p>
      <w:pPr>
        <w:adjustRightInd w:val="0"/>
        <w:snapToGrid w:val="0"/>
        <w:spacing w:line="560" w:lineRule="exact"/>
        <w:jc w:val="center"/>
        <w:rPr>
          <w:rFonts w:ascii="黑体" w:hAnsi="黑体" w:eastAsia="黑体"/>
          <w:b/>
          <w:sz w:val="32"/>
          <w:szCs w:val="32"/>
        </w:rPr>
      </w:pPr>
      <w:r>
        <w:rPr>
          <w:rFonts w:hint="eastAsia" w:ascii="黑体" w:hAnsi="黑体" w:eastAsia="黑体"/>
          <w:b/>
          <w:sz w:val="32"/>
          <w:szCs w:val="32"/>
        </w:rPr>
        <w:t>第六章</w:t>
      </w:r>
      <w:r>
        <w:rPr>
          <w:rFonts w:ascii="黑体" w:hAnsi="黑体" w:eastAsia="黑体"/>
          <w:b/>
          <w:sz w:val="32"/>
          <w:szCs w:val="32"/>
        </w:rPr>
        <w:t xml:space="preserve"> </w:t>
      </w:r>
      <w:r>
        <w:rPr>
          <w:rFonts w:hint="eastAsia" w:ascii="黑体" w:hAnsi="黑体" w:eastAsia="黑体"/>
          <w:b/>
          <w:sz w:val="32"/>
          <w:szCs w:val="32"/>
        </w:rPr>
        <w:t>附则</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第二十五</w:t>
      </w:r>
      <w:r>
        <w:rPr>
          <w:rFonts w:ascii="仿宋_GB2312" w:hAnsi="黑体" w:eastAsia="仿宋_GB2312"/>
          <w:b/>
          <w:sz w:val="32"/>
          <w:szCs w:val="32"/>
        </w:rPr>
        <w:t>条</w:t>
      </w:r>
      <w:r>
        <w:rPr>
          <w:rFonts w:ascii="仿宋_GB2312" w:hAnsi="黑体" w:eastAsia="仿宋_GB2312"/>
          <w:sz w:val="32"/>
          <w:szCs w:val="32"/>
        </w:rPr>
        <w:t xml:space="preserve"> 本指南由本所负责解释。</w:t>
      </w:r>
    </w:p>
    <w:p>
      <w:pPr>
        <w:adjustRightInd w:val="0"/>
        <w:snapToGrid w:val="0"/>
        <w:spacing w:line="560" w:lineRule="exact"/>
        <w:ind w:firstLine="642" w:firstLineChars="200"/>
        <w:rPr>
          <w:rFonts w:ascii="仿宋_GB2312" w:hAnsi="黑体" w:eastAsia="仿宋_GB2312"/>
          <w:sz w:val="32"/>
          <w:szCs w:val="32"/>
        </w:rPr>
      </w:pPr>
      <w:r>
        <w:rPr>
          <w:rFonts w:hint="eastAsia" w:ascii="仿宋_GB2312" w:hAnsi="黑体" w:eastAsia="仿宋_GB2312"/>
          <w:b/>
          <w:sz w:val="32"/>
          <w:szCs w:val="32"/>
        </w:rPr>
        <w:t>第二十六条</w:t>
      </w:r>
      <w:r>
        <w:rPr>
          <w:rFonts w:ascii="仿宋_GB2312" w:hAnsi="黑体" w:eastAsia="仿宋_GB2312"/>
          <w:b/>
          <w:sz w:val="32"/>
          <w:szCs w:val="32"/>
        </w:rPr>
        <w:t xml:space="preserve"> </w:t>
      </w:r>
      <w:r>
        <w:rPr>
          <w:rFonts w:hint="eastAsia" w:ascii="仿宋_GB2312" w:hAnsi="黑体" w:eastAsia="仿宋_GB2312"/>
          <w:sz w:val="32"/>
          <w:szCs w:val="32"/>
        </w:rPr>
        <w:t>本指南自发布之日起施行。</w:t>
      </w:r>
    </w:p>
    <w:p>
      <w:pPr>
        <w:adjustRightInd w:val="0"/>
        <w:snapToGrid w:val="0"/>
        <w:spacing w:line="560" w:lineRule="exact"/>
        <w:ind w:firstLine="640" w:firstLineChars="200"/>
        <w:rPr>
          <w:rFonts w:ascii="仿宋_GB2312" w:hAnsi="黑体" w:eastAsia="仿宋_GB2312"/>
          <w:sz w:val="32"/>
          <w:szCs w:val="32"/>
        </w:rPr>
      </w:pPr>
    </w:p>
    <w:p>
      <w:pPr>
        <w:adjustRightInd w:val="0"/>
        <w:snapToGrid w:val="0"/>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附件：</w:t>
      </w:r>
    </w:p>
    <w:p>
      <w:pPr>
        <w:adjustRightInd w:val="0"/>
        <w:snapToGrid w:val="0"/>
        <w:spacing w:line="560" w:lineRule="exact"/>
        <w:ind w:firstLine="640" w:firstLineChars="200"/>
        <w:rPr>
          <w:rFonts w:ascii="仿宋_GB2312" w:hAnsi="黑体" w:eastAsia="仿宋_GB2312"/>
          <w:sz w:val="32"/>
          <w:szCs w:val="32"/>
        </w:rPr>
      </w:pPr>
      <w:r>
        <w:rPr>
          <w:rFonts w:ascii="仿宋_GB2312" w:hAnsi="黑体" w:eastAsia="仿宋_GB2312"/>
          <w:sz w:val="32"/>
          <w:szCs w:val="32"/>
        </w:rPr>
        <w:t>1.关于XXX公司公司债券/企业债券/专项品种公司债券</w:t>
      </w:r>
      <w:r>
        <w:rPr>
          <w:rFonts w:hint="eastAsia" w:ascii="仿宋_GB2312" w:hAnsi="黑体" w:eastAsia="仿宋_GB2312"/>
          <w:sz w:val="32"/>
          <w:szCs w:val="32"/>
        </w:rPr>
        <w:tab/>
      </w:r>
      <w:r>
        <w:rPr>
          <w:rFonts w:hint="eastAsia" w:ascii="仿宋_GB2312" w:hAnsi="黑体" w:eastAsia="仿宋_GB2312"/>
          <w:sz w:val="32"/>
          <w:szCs w:val="32"/>
        </w:rPr>
        <w:tab/>
      </w:r>
      <w:r>
        <w:rPr>
          <w:rFonts w:ascii="仿宋_GB2312" w:hAnsi="黑体" w:eastAsia="仿宋_GB2312"/>
          <w:sz w:val="32"/>
          <w:szCs w:val="32"/>
        </w:rPr>
        <w:t>申请电子文件与预留原件一致及准确填报发行申请材</w:t>
      </w:r>
      <w:r>
        <w:rPr>
          <w:rFonts w:hint="eastAsia" w:ascii="仿宋_GB2312" w:hAnsi="黑体" w:eastAsia="仿宋_GB2312"/>
          <w:sz w:val="32"/>
          <w:szCs w:val="32"/>
        </w:rPr>
        <w:tab/>
      </w:r>
      <w:r>
        <w:rPr>
          <w:rFonts w:hint="eastAsia" w:ascii="仿宋_GB2312" w:hAnsi="黑体" w:eastAsia="仿宋_GB2312"/>
          <w:sz w:val="32"/>
          <w:szCs w:val="32"/>
        </w:rPr>
        <w:tab/>
      </w:r>
      <w:r>
        <w:rPr>
          <w:rFonts w:ascii="仿宋_GB2312" w:hAnsi="黑体" w:eastAsia="仿宋_GB2312"/>
          <w:sz w:val="32"/>
          <w:szCs w:val="32"/>
        </w:rPr>
        <w:t>料的承诺函</w:t>
      </w:r>
    </w:p>
    <w:p>
      <w:pPr>
        <w:adjustRightInd w:val="0"/>
        <w:snapToGrid w:val="0"/>
        <w:spacing w:line="560" w:lineRule="exact"/>
        <w:ind w:firstLine="640" w:firstLineChars="200"/>
        <w:rPr>
          <w:rFonts w:ascii="仿宋_GB2312" w:hAnsi="黑体" w:eastAsia="仿宋_GB2312"/>
          <w:sz w:val="32"/>
          <w:szCs w:val="32"/>
        </w:rPr>
      </w:pPr>
      <w:r>
        <w:rPr>
          <w:rFonts w:ascii="仿宋_GB2312" w:hAnsi="黑体" w:eastAsia="仿宋_GB2312"/>
          <w:sz w:val="32"/>
          <w:szCs w:val="32"/>
        </w:rPr>
        <w:t>2.XXX公司关于面向普通/专业投资者公开发行公司债</w:t>
      </w:r>
      <w:r>
        <w:rPr>
          <w:rFonts w:hint="eastAsia" w:ascii="仿宋_GB2312" w:hAnsi="黑体" w:eastAsia="仿宋_GB2312"/>
          <w:sz w:val="32"/>
          <w:szCs w:val="32"/>
        </w:rPr>
        <w:tab/>
      </w:r>
      <w:r>
        <w:rPr>
          <w:rFonts w:hint="eastAsia" w:ascii="仿宋_GB2312" w:hAnsi="黑体" w:eastAsia="仿宋_GB2312"/>
          <w:sz w:val="32"/>
          <w:szCs w:val="32"/>
        </w:rPr>
        <w:tab/>
      </w:r>
      <w:r>
        <w:rPr>
          <w:rFonts w:ascii="仿宋_GB2312" w:hAnsi="黑体" w:eastAsia="仿宋_GB2312"/>
          <w:sz w:val="32"/>
          <w:szCs w:val="32"/>
        </w:rPr>
        <w:t>券/企业债券/专项品种公司债券并在上海证券交易所</w:t>
      </w:r>
      <w:r>
        <w:rPr>
          <w:rFonts w:hint="eastAsia" w:ascii="仿宋_GB2312" w:hAnsi="黑体" w:eastAsia="仿宋_GB2312"/>
          <w:sz w:val="32"/>
          <w:szCs w:val="32"/>
        </w:rPr>
        <w:tab/>
      </w:r>
      <w:r>
        <w:rPr>
          <w:rFonts w:hint="eastAsia" w:ascii="仿宋_GB2312" w:hAnsi="黑体" w:eastAsia="仿宋_GB2312"/>
          <w:sz w:val="32"/>
          <w:szCs w:val="32"/>
        </w:rPr>
        <w:tab/>
      </w:r>
      <w:r>
        <w:rPr>
          <w:rFonts w:ascii="仿宋_GB2312" w:hAnsi="黑体" w:eastAsia="仿宋_GB2312"/>
          <w:sz w:val="32"/>
          <w:szCs w:val="32"/>
        </w:rPr>
        <w:t>上市的申请</w:t>
      </w:r>
    </w:p>
    <w:p>
      <w:pPr>
        <w:adjustRightInd w:val="0"/>
        <w:snapToGrid w:val="0"/>
        <w:spacing w:line="560" w:lineRule="exact"/>
        <w:ind w:firstLine="640" w:firstLineChars="200"/>
        <w:rPr>
          <w:rFonts w:ascii="仿宋_GB2312" w:hAnsi="黑体" w:eastAsia="仿宋_GB2312"/>
          <w:sz w:val="32"/>
          <w:szCs w:val="32"/>
        </w:rPr>
      </w:pPr>
      <w:r>
        <w:rPr>
          <w:rFonts w:ascii="仿宋_GB2312" w:hAnsi="黑体" w:eastAsia="仿宋_GB2312"/>
          <w:sz w:val="32"/>
          <w:szCs w:val="32"/>
        </w:rPr>
        <w:t>3.XXX公司关于非公开发行公司债券挂牌转让的申请</w:t>
      </w:r>
    </w:p>
    <w:p>
      <w:pPr>
        <w:adjustRightInd w:val="0"/>
        <w:snapToGrid w:val="0"/>
        <w:spacing w:line="560" w:lineRule="exact"/>
        <w:ind w:firstLine="640" w:firstLineChars="200"/>
        <w:rPr>
          <w:rFonts w:ascii="仿宋_GB2312" w:hAnsi="黑体" w:eastAsia="仿宋_GB2312"/>
          <w:sz w:val="32"/>
          <w:szCs w:val="32"/>
        </w:rPr>
      </w:pPr>
      <w:r>
        <w:rPr>
          <w:rFonts w:ascii="仿宋_GB2312" w:hAnsi="黑体" w:eastAsia="仿宋_GB2312"/>
          <w:sz w:val="32"/>
          <w:szCs w:val="32"/>
        </w:rPr>
        <w:t>4.发行人基本情况简要披露参考文本</w:t>
      </w:r>
    </w:p>
    <w:p>
      <w:pPr>
        <w:adjustRightInd w:val="0"/>
        <w:snapToGrid w:val="0"/>
        <w:spacing w:line="560" w:lineRule="exact"/>
        <w:ind w:firstLine="640" w:firstLineChars="200"/>
        <w:rPr>
          <w:rFonts w:ascii="仿宋_GB2312" w:hAnsi="黑体" w:eastAsia="仿宋_GB2312"/>
          <w:sz w:val="32"/>
          <w:szCs w:val="32"/>
        </w:rPr>
      </w:pPr>
      <w:r>
        <w:rPr>
          <w:rFonts w:ascii="仿宋_GB2312" w:hAnsi="黑体" w:eastAsia="仿宋_GB2312"/>
          <w:sz w:val="32"/>
          <w:szCs w:val="32"/>
        </w:rPr>
        <w:t>5.半年度主要财务数据变动情况分析</w:t>
      </w:r>
      <w:r>
        <w:rPr>
          <w:rFonts w:hint="eastAsia" w:ascii="仿宋_GB2312" w:hAnsi="黑体" w:eastAsia="仿宋_GB2312"/>
          <w:sz w:val="32"/>
          <w:szCs w:val="32"/>
        </w:rPr>
        <w:t>参考文本</w:t>
      </w:r>
    </w:p>
    <w:p>
      <w:pPr>
        <w:adjustRightInd w:val="0"/>
        <w:snapToGrid w:val="0"/>
        <w:spacing w:line="560" w:lineRule="exact"/>
        <w:ind w:firstLine="640" w:firstLineChars="200"/>
        <w:rPr>
          <w:rFonts w:ascii="仿宋_GB2312" w:hAnsi="黑体" w:eastAsia="仿宋_GB2312"/>
          <w:sz w:val="32"/>
          <w:szCs w:val="32"/>
        </w:rPr>
      </w:pPr>
      <w:r>
        <w:rPr>
          <w:rFonts w:ascii="仿宋_GB2312" w:hAnsi="黑体" w:eastAsia="仿宋_GB2312"/>
          <w:sz w:val="32"/>
          <w:szCs w:val="32"/>
        </w:rPr>
        <w:t>6.索引式披露参考格式</w:t>
      </w:r>
    </w:p>
    <w:p>
      <w:pPr>
        <w:adjustRightInd w:val="0"/>
        <w:snapToGrid w:val="0"/>
        <w:spacing w:line="560" w:lineRule="exact"/>
        <w:ind w:firstLine="640" w:firstLineChars="200"/>
        <w:rPr>
          <w:rFonts w:ascii="仿宋_GB2312" w:hAnsi="黑体" w:eastAsia="仿宋_GB2312"/>
          <w:sz w:val="32"/>
          <w:szCs w:val="32"/>
        </w:rPr>
      </w:pPr>
      <w:r>
        <w:rPr>
          <w:rFonts w:ascii="仿宋_GB2312" w:hAnsi="黑体" w:eastAsia="仿宋_GB2312"/>
          <w:sz w:val="32"/>
          <w:szCs w:val="32"/>
        </w:rPr>
        <w:t>7.公司债券存续期监管简化安排涉及规则</w:t>
      </w:r>
    </w:p>
    <w:p>
      <w:pPr>
        <w:adjustRightInd w:val="0"/>
        <w:snapToGrid w:val="0"/>
        <w:spacing w:line="560" w:lineRule="exact"/>
        <w:ind w:firstLine="640" w:firstLineChars="200"/>
        <w:rPr>
          <w:rFonts w:ascii="仿宋_GB2312" w:hAnsi="黑体" w:eastAsia="仿宋_GB2312"/>
          <w:sz w:val="32"/>
          <w:szCs w:val="32"/>
        </w:rPr>
      </w:pPr>
      <w:r>
        <w:rPr>
          <w:rFonts w:ascii="仿宋_GB2312" w:hAnsi="黑体" w:eastAsia="仿宋_GB2312"/>
          <w:sz w:val="32"/>
          <w:szCs w:val="32"/>
        </w:rPr>
        <w:t>8.资产支持证券优质发起人简要披露参考</w:t>
      </w:r>
      <w:r>
        <w:rPr>
          <w:rFonts w:hint="eastAsia" w:ascii="仿宋_GB2312" w:hAnsi="黑体" w:eastAsia="仿宋_GB2312"/>
          <w:sz w:val="32"/>
          <w:szCs w:val="32"/>
        </w:rPr>
        <w:t>文本</w:t>
      </w:r>
    </w:p>
    <w:p>
      <w:pPr>
        <w:widowControl/>
        <w:jc w:val="left"/>
        <w:rPr>
          <w:rFonts w:ascii="仿宋_GB2312" w:hAnsi="黑体" w:eastAsia="仿宋_GB2312"/>
          <w:sz w:val="30"/>
          <w:szCs w:val="30"/>
        </w:rPr>
      </w:pPr>
      <w:r>
        <w:rPr>
          <w:rFonts w:ascii="仿宋_GB2312" w:hAnsi="黑体" w:eastAsia="仿宋_GB2312"/>
          <w:sz w:val="30"/>
          <w:szCs w:val="30"/>
        </w:rPr>
        <w:br w:type="page"/>
      </w:r>
    </w:p>
    <w:p>
      <w:pPr>
        <w:adjustRightInd w:val="0"/>
        <w:snapToGrid w:val="0"/>
        <w:spacing w:line="560" w:lineRule="exact"/>
        <w:jc w:val="left"/>
        <w:outlineLvl w:val="0"/>
        <w:rPr>
          <w:rFonts w:ascii="黑体" w:hAnsi="黑体" w:eastAsia="黑体"/>
          <w:bCs/>
          <w:color w:val="000000"/>
          <w:kern w:val="0"/>
          <w:sz w:val="32"/>
          <w:szCs w:val="30"/>
          <w:lang w:bidi="en-US"/>
        </w:rPr>
      </w:pPr>
      <w:r>
        <w:rPr>
          <w:rFonts w:hint="eastAsia" w:ascii="黑体" w:hAnsi="黑体" w:eastAsia="黑体"/>
          <w:bCs/>
          <w:color w:val="000000"/>
          <w:kern w:val="0"/>
          <w:sz w:val="32"/>
          <w:szCs w:val="30"/>
          <w:lang w:bidi="en-US"/>
        </w:rPr>
        <w:t>附件1</w:t>
      </w:r>
    </w:p>
    <w:p>
      <w:pPr>
        <w:adjustRightInd w:val="0"/>
        <w:snapToGrid w:val="0"/>
        <w:spacing w:line="560" w:lineRule="exact"/>
        <w:jc w:val="left"/>
        <w:outlineLvl w:val="0"/>
        <w:rPr>
          <w:rFonts w:ascii="Times New Roman" w:hAnsi="Times New Roman" w:eastAsia="仿宋_GB2312"/>
          <w:b/>
          <w:bCs/>
          <w:color w:val="000000"/>
          <w:kern w:val="0"/>
          <w:sz w:val="32"/>
          <w:szCs w:val="30"/>
          <w:lang w:bidi="en-US"/>
        </w:rPr>
      </w:pPr>
    </w:p>
    <w:p>
      <w:pPr>
        <w:adjustRightInd w:val="0"/>
        <w:snapToGrid w:val="0"/>
        <w:spacing w:line="560" w:lineRule="exact"/>
        <w:jc w:val="center"/>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关于</w:t>
      </w:r>
      <w:r>
        <w:rPr>
          <w:rFonts w:ascii="方正大标宋简体" w:hAnsi="方正大标宋简体" w:eastAsia="方正大标宋简体"/>
          <w:sz w:val="44"/>
          <w:szCs w:val="44"/>
        </w:rPr>
        <w:t>XXX公司</w:t>
      </w:r>
      <w:r>
        <w:rPr>
          <w:rFonts w:hint="eastAsia" w:ascii="方正大标宋简体" w:hAnsi="方正大标宋简体" w:eastAsia="方正大标宋简体"/>
          <w:sz w:val="44"/>
          <w:szCs w:val="44"/>
        </w:rPr>
        <w:t>公司</w:t>
      </w:r>
      <w:r>
        <w:rPr>
          <w:rFonts w:ascii="方正大标宋简体" w:hAnsi="方正大标宋简体" w:eastAsia="方正大标宋简体"/>
          <w:sz w:val="44"/>
          <w:szCs w:val="44"/>
        </w:rPr>
        <w:t>债券/企业债券/专项品种公司债券申请电子文件与预留原件一致及准确填报发行申请材料的承诺函</w:t>
      </w:r>
    </w:p>
    <w:p>
      <w:pPr>
        <w:widowControl/>
        <w:adjustRightInd w:val="0"/>
        <w:snapToGrid w:val="0"/>
        <w:spacing w:line="560" w:lineRule="exact"/>
        <w:rPr>
          <w:rFonts w:ascii="仿宋_GB2312" w:hAnsi="Times New Roman" w:eastAsia="仿宋_GB2312"/>
          <w:color w:val="000000"/>
          <w:kern w:val="0"/>
          <w:sz w:val="30"/>
          <w:szCs w:val="30"/>
          <w:lang w:bidi="en-US"/>
        </w:rPr>
      </w:pPr>
    </w:p>
    <w:p>
      <w:pPr>
        <w:widowControl/>
        <w:adjustRightInd w:val="0"/>
        <w:snapToGrid w:val="0"/>
        <w:spacing w:line="560" w:lineRule="exact"/>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上海证券交易所：</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XXX公司已经按照《中华人民共和国证券法》《公司债券发行与交易管理办法》《公司信用类债券信息披露管理办法》等相关规定制作了XXX公司公司债券/企业债券/专项品种公司债券申请文件（以下简称申请文件）。</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XXX公司作为本次公司债券的发行人，XXX公司作为本次公司债券的主承销商，承诺本次填报的所有项目信息（包含发行人信息、相关机构信息、债券基本信息等）及申报文件均真实、准确、完整，不同申请文件之间、申请文件前后之间、申请文件与其已披露的其他文件之间的相关内容与表述一致，如出现错报、漏报及不一致等情况，将承担由此产生的一切后果。</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发行人、主承销商承诺提供的电子版申请文件与存档纸质文件内容一致，申请文件不存在虚假记载、误导性陈述或重大遗漏，并对申请文件的真实性、准确性和完整性承担相应的法律责任。</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特此承诺。</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（以下无正文，为签章页）</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（本页无正文，为《关于XXX公司公司债券/企业债券/专项品种公司债券申请电子文件与预留原件一致及准确填报发行申请材料的承诺函》签章页）</w:t>
      </w: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jc w:val="right"/>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发行人（公章）</w:t>
      </w:r>
    </w:p>
    <w:p>
      <w:pPr>
        <w:widowControl/>
        <w:adjustRightInd w:val="0"/>
        <w:snapToGrid w:val="0"/>
        <w:spacing w:beforeLines="50" w:afterLines="50" w:line="560" w:lineRule="exact"/>
        <w:ind w:firstLine="640" w:firstLineChars="200"/>
        <w:jc w:val="right"/>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年</w:t>
      </w:r>
      <w:r>
        <w:rPr>
          <w:rFonts w:ascii="仿宋_GB2312" w:hAnsi="Times New Roman" w:eastAsia="仿宋_GB2312"/>
          <w:color w:val="000000"/>
          <w:kern w:val="0"/>
          <w:sz w:val="32"/>
          <w:szCs w:val="32"/>
          <w:lang w:bidi="en-US"/>
        </w:rPr>
        <w:t xml:space="preserve">  </w:t>
      </w:r>
      <w:r>
        <w:rPr>
          <w:rFonts w:hint="eastAsia" w:ascii="仿宋_GB2312" w:hAnsi="Times New Roman" w:eastAsia="仿宋_GB2312"/>
          <w:color w:val="000000"/>
          <w:kern w:val="0"/>
          <w:sz w:val="32"/>
          <w:szCs w:val="32"/>
          <w:lang w:bidi="en-US"/>
        </w:rPr>
        <w:t>月</w:t>
      </w:r>
      <w:r>
        <w:rPr>
          <w:rFonts w:ascii="仿宋_GB2312" w:hAnsi="Times New Roman" w:eastAsia="仿宋_GB2312"/>
          <w:color w:val="000000"/>
          <w:kern w:val="0"/>
          <w:sz w:val="32"/>
          <w:szCs w:val="32"/>
          <w:lang w:bidi="en-US"/>
        </w:rPr>
        <w:t xml:space="preserve">  </w:t>
      </w:r>
      <w:r>
        <w:rPr>
          <w:rFonts w:hint="eastAsia" w:ascii="仿宋_GB2312" w:hAnsi="Times New Roman" w:eastAsia="仿宋_GB2312"/>
          <w:color w:val="000000"/>
          <w:kern w:val="0"/>
          <w:sz w:val="32"/>
          <w:szCs w:val="32"/>
          <w:lang w:bidi="en-US"/>
        </w:rPr>
        <w:t>日</w:t>
      </w:r>
    </w:p>
    <w:p>
      <w:pPr>
        <w:widowControl/>
        <w:adjustRightInd w:val="0"/>
        <w:snapToGrid w:val="0"/>
        <w:spacing w:line="560" w:lineRule="exact"/>
        <w:jc w:val="left"/>
        <w:rPr>
          <w:rFonts w:ascii="仿宋_GB2312" w:hAnsi="Times New Roman" w:eastAsia="仿宋_GB2312"/>
          <w:color w:val="000000"/>
          <w:kern w:val="0"/>
          <w:sz w:val="32"/>
          <w:szCs w:val="32"/>
          <w:lang w:bidi="en-US"/>
        </w:rPr>
      </w:pPr>
      <w:r>
        <w:rPr>
          <w:rFonts w:ascii="仿宋_GB2312" w:hAnsi="Times New Roman" w:eastAsia="仿宋_GB2312"/>
          <w:color w:val="000000"/>
          <w:kern w:val="0"/>
          <w:sz w:val="32"/>
          <w:szCs w:val="32"/>
          <w:lang w:bidi="en-US"/>
        </w:rPr>
        <w:br w:type="page"/>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（本页无正文，为《关于XXX公司公司债券/企业债券/专项品种公司债券申请电子文件与预留原件一致及准确填报发行申请材料的承诺函》签章页）</w:t>
      </w: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项目负责人签字：</w:t>
      </w:r>
    </w:p>
    <w:p>
      <w:pPr>
        <w:widowControl/>
        <w:adjustRightInd w:val="0"/>
        <w:snapToGrid w:val="0"/>
        <w:spacing w:beforeLines="50" w:afterLines="50" w:line="560" w:lineRule="exact"/>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rPr>
          <w:rFonts w:ascii="仿宋_GB2312" w:hAnsi="Times New Roman" w:eastAsia="仿宋_GB2312"/>
          <w:color w:val="000000"/>
          <w:kern w:val="0"/>
          <w:sz w:val="32"/>
          <w:szCs w:val="32"/>
          <w:lang w:bidi="en-US"/>
        </w:rPr>
      </w:pPr>
    </w:p>
    <w:p>
      <w:pPr>
        <w:widowControl/>
        <w:adjustRightInd w:val="0"/>
        <w:snapToGrid w:val="0"/>
        <w:spacing w:beforeLines="50" w:afterLines="50" w:line="560" w:lineRule="exact"/>
        <w:ind w:firstLine="640" w:firstLineChars="200"/>
        <w:jc w:val="right"/>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主承销商（公章）</w:t>
      </w:r>
    </w:p>
    <w:p>
      <w:pPr>
        <w:widowControl/>
        <w:adjustRightInd w:val="0"/>
        <w:snapToGrid w:val="0"/>
        <w:spacing w:beforeLines="50" w:afterLines="50" w:line="560" w:lineRule="exact"/>
        <w:ind w:firstLine="640" w:firstLineChars="200"/>
        <w:jc w:val="right"/>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年</w:t>
      </w:r>
      <w:r>
        <w:rPr>
          <w:rFonts w:ascii="仿宋_GB2312" w:hAnsi="Times New Roman" w:eastAsia="仿宋_GB2312"/>
          <w:color w:val="000000"/>
          <w:kern w:val="0"/>
          <w:sz w:val="32"/>
          <w:szCs w:val="32"/>
          <w:lang w:bidi="en-US"/>
        </w:rPr>
        <w:t xml:space="preserve">  </w:t>
      </w:r>
      <w:r>
        <w:rPr>
          <w:rFonts w:hint="eastAsia" w:ascii="仿宋_GB2312" w:hAnsi="Times New Roman" w:eastAsia="仿宋_GB2312"/>
          <w:color w:val="000000"/>
          <w:kern w:val="0"/>
          <w:sz w:val="32"/>
          <w:szCs w:val="32"/>
          <w:lang w:bidi="en-US"/>
        </w:rPr>
        <w:t>月</w:t>
      </w:r>
      <w:r>
        <w:rPr>
          <w:rFonts w:ascii="仿宋_GB2312" w:hAnsi="Times New Roman" w:eastAsia="仿宋_GB2312"/>
          <w:color w:val="000000"/>
          <w:kern w:val="0"/>
          <w:sz w:val="32"/>
          <w:szCs w:val="32"/>
          <w:lang w:bidi="en-US"/>
        </w:rPr>
        <w:t xml:space="preserve">  </w:t>
      </w:r>
      <w:r>
        <w:rPr>
          <w:rFonts w:hint="eastAsia" w:ascii="仿宋_GB2312" w:hAnsi="Times New Roman" w:eastAsia="仿宋_GB2312"/>
          <w:color w:val="000000"/>
          <w:kern w:val="0"/>
          <w:sz w:val="32"/>
          <w:szCs w:val="32"/>
          <w:lang w:bidi="en-US"/>
        </w:rPr>
        <w:t>日</w:t>
      </w:r>
    </w:p>
    <w:p>
      <w:pPr>
        <w:adjustRightInd w:val="0"/>
        <w:snapToGrid w:val="0"/>
        <w:spacing w:line="560" w:lineRule="exact"/>
        <w:jc w:val="left"/>
        <w:outlineLvl w:val="0"/>
        <w:rPr>
          <w:rFonts w:ascii="黑体" w:hAnsi="黑体" w:eastAsia="黑体"/>
          <w:bCs/>
          <w:color w:val="000000"/>
          <w:kern w:val="0"/>
          <w:sz w:val="32"/>
          <w:szCs w:val="30"/>
          <w:lang w:bidi="en-US"/>
        </w:rPr>
      </w:pPr>
      <w:r>
        <w:rPr>
          <w:rFonts w:ascii="Times New Roman" w:hAnsi="Times New Roman" w:eastAsia="仿宋_GB2312"/>
          <w:color w:val="000000"/>
          <w:kern w:val="0"/>
          <w:sz w:val="32"/>
          <w:szCs w:val="30"/>
          <w:lang w:bidi="en-US"/>
        </w:rPr>
        <w:br w:type="page"/>
      </w:r>
      <w:r>
        <w:rPr>
          <w:rFonts w:hint="eastAsia" w:ascii="黑体" w:hAnsi="黑体" w:eastAsia="黑体"/>
          <w:bCs/>
          <w:color w:val="000000"/>
          <w:kern w:val="0"/>
          <w:sz w:val="32"/>
          <w:szCs w:val="30"/>
          <w:lang w:bidi="en-US"/>
        </w:rPr>
        <w:t>附件2</w:t>
      </w:r>
      <w:r>
        <w:rPr>
          <w:rFonts w:ascii="黑体" w:hAnsi="黑体" w:eastAsia="黑体"/>
          <w:bCs/>
          <w:color w:val="000000"/>
          <w:kern w:val="0"/>
          <w:sz w:val="32"/>
          <w:szCs w:val="30"/>
          <w:lang w:bidi="en-US"/>
        </w:rPr>
        <w:t xml:space="preserve"> </w:t>
      </w:r>
    </w:p>
    <w:p>
      <w:pPr>
        <w:adjustRightInd w:val="0"/>
        <w:snapToGrid w:val="0"/>
        <w:spacing w:line="560" w:lineRule="exact"/>
        <w:jc w:val="left"/>
        <w:outlineLvl w:val="0"/>
        <w:rPr>
          <w:rFonts w:ascii="Times New Roman" w:hAnsi="Times New Roman" w:eastAsia="仿宋_GB2312"/>
          <w:b/>
          <w:bCs/>
          <w:color w:val="000000"/>
          <w:kern w:val="0"/>
          <w:sz w:val="32"/>
          <w:szCs w:val="30"/>
          <w:lang w:bidi="en-US"/>
        </w:rPr>
      </w:pPr>
    </w:p>
    <w:p>
      <w:pPr>
        <w:adjustRightInd w:val="0"/>
        <w:snapToGrid w:val="0"/>
        <w:jc w:val="center"/>
        <w:rPr>
          <w:rFonts w:ascii="仿宋_GB2312" w:hAnsi="Times New Roman" w:eastAsia="仿宋_GB2312"/>
          <w:b/>
          <w:bCs/>
          <w:color w:val="000000"/>
          <w:kern w:val="0"/>
          <w:sz w:val="32"/>
          <w:szCs w:val="32"/>
        </w:rPr>
      </w:pPr>
      <w:r>
        <w:rPr>
          <w:rFonts w:ascii="仿宋_GB2312" w:hAnsi="Times New Roman" w:eastAsia="仿宋_GB2312"/>
          <w:b/>
          <w:bCs/>
          <w:color w:val="000000"/>
          <w:kern w:val="0"/>
          <w:sz w:val="32"/>
          <w:szCs w:val="32"/>
        </w:rPr>
        <w:t>XXX</w:t>
      </w:r>
      <w:r>
        <w:rPr>
          <w:rFonts w:hint="eastAsia" w:ascii="仿宋_GB2312" w:hAnsi="Times New Roman" w:eastAsia="仿宋_GB2312"/>
          <w:b/>
          <w:bCs/>
          <w:color w:val="000000"/>
          <w:kern w:val="0"/>
          <w:sz w:val="32"/>
          <w:szCs w:val="32"/>
        </w:rPr>
        <w:t>公司文件</w:t>
      </w:r>
    </w:p>
    <w:p>
      <w:pPr>
        <w:adjustRightInd w:val="0"/>
        <w:snapToGrid w:val="0"/>
        <w:jc w:val="right"/>
        <w:rPr>
          <w:rFonts w:ascii="仿宋_GB2312" w:hAnsi="Times New Roman" w:eastAsia="仿宋_GB2312"/>
          <w:b/>
          <w:bCs/>
          <w:color w:val="000000"/>
          <w:kern w:val="0"/>
          <w:sz w:val="28"/>
          <w:szCs w:val="28"/>
        </w:rPr>
      </w:pPr>
      <w:r>
        <w:rPr>
          <w:rFonts w:ascii="仿宋_GB2312" w:hAnsi="Times New Roman" w:eastAsia="仿宋_GB2312"/>
          <w:b/>
          <w:bCs/>
          <w:color w:val="000000"/>
          <w:kern w:val="0"/>
          <w:sz w:val="28"/>
          <w:szCs w:val="28"/>
        </w:rPr>
        <w:t>XXX[20XX]XX</w:t>
      </w:r>
      <w:r>
        <w:rPr>
          <w:rFonts w:hint="eastAsia" w:ascii="仿宋_GB2312" w:hAnsi="Times New Roman" w:eastAsia="仿宋_GB2312"/>
          <w:b/>
          <w:bCs/>
          <w:color w:val="000000"/>
          <w:kern w:val="0"/>
          <w:sz w:val="28"/>
          <w:szCs w:val="28"/>
        </w:rPr>
        <w:t>号</w:t>
      </w:r>
    </w:p>
    <w:p>
      <w:pPr>
        <w:adjustRightInd w:val="0"/>
        <w:snapToGrid w:val="0"/>
        <w:spacing w:before="120" w:after="120"/>
        <w:ind w:firstLine="200"/>
        <w:rPr>
          <w:rFonts w:ascii="Times New Roman" w:hAnsi="Times New Roman" w:eastAsia="仿宋_GB2312"/>
          <w:color w:val="000000"/>
          <w:sz w:val="24"/>
        </w:rPr>
      </w:pPr>
      <w:r>
        <w:rPr>
          <w:rFonts w:ascii="Times New Roman" w:hAnsi="Times New Roman" w:eastAsia="仿宋_GB2312"/>
          <w:color w:val="000000"/>
          <w:sz w:val="24"/>
        </w:rPr>
        <w:t>_________________________________________________________________</w:t>
      </w:r>
    </w:p>
    <w:p>
      <w:pPr>
        <w:adjustRightInd w:val="0"/>
        <w:snapToGrid w:val="0"/>
        <w:jc w:val="center"/>
        <w:rPr>
          <w:rFonts w:ascii="方正大标宋简体" w:hAnsi="黑体" w:eastAsia="方正大标宋简体"/>
          <w:sz w:val="42"/>
          <w:szCs w:val="42"/>
        </w:rPr>
      </w:pPr>
    </w:p>
    <w:p>
      <w:pPr>
        <w:adjustRightInd w:val="0"/>
        <w:snapToGrid w:val="0"/>
        <w:spacing w:line="560" w:lineRule="exact"/>
        <w:jc w:val="center"/>
        <w:rPr>
          <w:rFonts w:ascii="方正大标宋简体" w:hAnsi="方正大标宋简体" w:eastAsia="方正大标宋简体"/>
          <w:sz w:val="44"/>
          <w:szCs w:val="44"/>
        </w:rPr>
      </w:pPr>
      <w:r>
        <w:rPr>
          <w:rFonts w:ascii="方正大标宋简体" w:hAnsi="方正大标宋简体" w:eastAsia="方正大标宋简体"/>
          <w:sz w:val="44"/>
          <w:szCs w:val="44"/>
        </w:rPr>
        <w:t>XXX</w:t>
      </w:r>
      <w:r>
        <w:rPr>
          <w:rFonts w:hint="eastAsia" w:ascii="方正大标宋简体" w:hAnsi="方正大标宋简体" w:eastAsia="方正大标宋简体"/>
          <w:sz w:val="44"/>
          <w:szCs w:val="44"/>
        </w:rPr>
        <w:t>公司关于面向普通</w:t>
      </w:r>
      <w:r>
        <w:rPr>
          <w:rFonts w:ascii="方正大标宋简体" w:hAnsi="方正大标宋简体" w:eastAsia="方正大标宋简体"/>
          <w:sz w:val="44"/>
          <w:szCs w:val="44"/>
        </w:rPr>
        <w:t>/</w:t>
      </w:r>
      <w:r>
        <w:rPr>
          <w:rFonts w:hint="eastAsia" w:ascii="方正大标宋简体" w:hAnsi="方正大标宋简体" w:eastAsia="方正大标宋简体"/>
          <w:sz w:val="44"/>
          <w:szCs w:val="44"/>
        </w:rPr>
        <w:t>专业投资者公开</w:t>
      </w:r>
    </w:p>
    <w:p>
      <w:pPr>
        <w:adjustRightInd w:val="0"/>
        <w:snapToGrid w:val="0"/>
        <w:spacing w:line="560" w:lineRule="exact"/>
        <w:jc w:val="center"/>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发行公司债券</w:t>
      </w:r>
      <w:r>
        <w:rPr>
          <w:rFonts w:ascii="方正大标宋简体" w:hAnsi="方正大标宋简体" w:eastAsia="方正大标宋简体"/>
          <w:sz w:val="44"/>
          <w:szCs w:val="44"/>
        </w:rPr>
        <w:t>/企业债券/专项品种公司债券并在上海证券交易所上市的申请</w:t>
      </w:r>
    </w:p>
    <w:p>
      <w:pPr>
        <w:adjustRightInd w:val="0"/>
        <w:snapToGrid w:val="0"/>
        <w:jc w:val="center"/>
        <w:rPr>
          <w:rFonts w:ascii="黑体" w:hAnsi="黑体" w:eastAsia="黑体"/>
          <w:b/>
          <w:sz w:val="44"/>
          <w:szCs w:val="44"/>
        </w:rPr>
      </w:pPr>
    </w:p>
    <w:p>
      <w:pPr>
        <w:adjustRightInd w:val="0"/>
        <w:snapToGrid w:val="0"/>
        <w:spacing w:line="560" w:lineRule="exact"/>
        <w:rPr>
          <w:rFonts w:ascii="仿宋_GB2312" w:hAnsi="Times New Roman" w:eastAsia="仿宋_GB2312"/>
          <w:color w:val="000000"/>
          <w:sz w:val="32"/>
          <w:szCs w:val="32"/>
        </w:rPr>
      </w:pPr>
      <w:r>
        <w:rPr>
          <w:rFonts w:hint="eastAsia" w:ascii="仿宋_GB2312" w:hAnsi="Times New Roman" w:eastAsia="仿宋_GB2312"/>
          <w:color w:val="000000"/>
          <w:sz w:val="32"/>
          <w:szCs w:val="32"/>
        </w:rPr>
        <w:t>上海证券交易所：</w:t>
      </w:r>
    </w:p>
    <w:p>
      <w:pPr>
        <w:adjustRightInd w:val="0"/>
        <w:snapToGrid w:val="0"/>
        <w:spacing w:line="560"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根据《中华人民共和国公司法》（以下简称《公司法》）、《中华人民共和国证券法》（以下简称《证券法》）、《公司债券发行与交易管理办法》等法律法规的规定，本公司拟申请公开发行规模不超过人民币XX亿元的公司债券/企业债券/专项品种公司债券（以下简称本次债券）。本次债券经上海证券交易所审核同意并经中国证券监督管理委员会注册后，将组织发行并申请在上海证券交易所上市。现将本次债券上市申请的有关情况报告如下：</w:t>
      </w:r>
    </w:p>
    <w:p>
      <w:pPr>
        <w:tabs>
          <w:tab w:val="left" w:pos="756"/>
        </w:tabs>
        <w:spacing w:line="560" w:lineRule="exact"/>
        <w:ind w:firstLine="642" w:firstLineChars="200"/>
        <w:textAlignment w:val="baseline"/>
        <w:outlineLvl w:val="0"/>
        <w:rPr>
          <w:rFonts w:ascii="黑体" w:hAnsi="黑体" w:eastAsia="黑体"/>
          <w:b/>
          <w:kern w:val="0"/>
          <w:sz w:val="32"/>
          <w:szCs w:val="32"/>
        </w:rPr>
      </w:pPr>
      <w:r>
        <w:rPr>
          <w:rFonts w:hint="eastAsia" w:ascii="黑体" w:hAnsi="黑体" w:eastAsia="黑体"/>
          <w:b/>
          <w:kern w:val="0"/>
          <w:sz w:val="32"/>
          <w:szCs w:val="32"/>
        </w:rPr>
        <w:t>一、本次公司</w:t>
      </w:r>
      <w:r>
        <w:rPr>
          <w:rFonts w:ascii="黑体" w:hAnsi="黑体" w:eastAsia="黑体"/>
          <w:b/>
          <w:kern w:val="0"/>
          <w:sz w:val="32"/>
          <w:szCs w:val="32"/>
        </w:rPr>
        <w:t>债券发行方</w:t>
      </w:r>
      <w:r>
        <w:rPr>
          <w:rFonts w:hint="eastAsia" w:ascii="黑体" w:hAnsi="黑体" w:eastAsia="黑体"/>
          <w:b/>
          <w:kern w:val="0"/>
          <w:sz w:val="32"/>
          <w:szCs w:val="32"/>
        </w:rPr>
        <w:t>案</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2"/>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4" w:type="pct"/>
            <w:vAlign w:val="center"/>
          </w:tcPr>
          <w:p>
            <w:pPr>
              <w:adjustRightInd w:val="0"/>
              <w:snapToGrid w:val="0"/>
              <w:rPr>
                <w:rFonts w:ascii="仿宋_GB2312" w:eastAsia="仿宋_GB2312"/>
                <w:szCs w:val="21"/>
              </w:rPr>
            </w:pPr>
            <w:r>
              <w:rPr>
                <w:rFonts w:hint="eastAsia" w:ascii="仿宋_GB2312" w:eastAsia="仿宋_GB2312"/>
                <w:szCs w:val="21"/>
              </w:rPr>
              <w:t>内部授权情况</w:t>
            </w:r>
          </w:p>
        </w:tc>
        <w:tc>
          <w:tcPr>
            <w:tcW w:w="3356" w:type="pct"/>
            <w:vAlign w:val="center"/>
          </w:tcPr>
          <w:p>
            <w:pPr>
              <w:adjustRightInd w:val="0"/>
              <w:snapToGrid w:val="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4" w:type="pct"/>
            <w:vAlign w:val="center"/>
          </w:tcPr>
          <w:p>
            <w:pPr>
              <w:adjustRightInd w:val="0"/>
              <w:snapToGrid w:val="0"/>
              <w:rPr>
                <w:rFonts w:ascii="仿宋_GB2312" w:eastAsia="仿宋_GB2312"/>
                <w:szCs w:val="21"/>
              </w:rPr>
            </w:pPr>
            <w:r>
              <w:rPr>
                <w:rFonts w:hint="eastAsia" w:ascii="仿宋_GB2312" w:eastAsia="仿宋_GB2312"/>
                <w:szCs w:val="21"/>
              </w:rPr>
              <w:t>发行规模（亿元）</w:t>
            </w:r>
          </w:p>
        </w:tc>
        <w:tc>
          <w:tcPr>
            <w:tcW w:w="3356" w:type="pct"/>
            <w:vAlign w:val="center"/>
          </w:tcPr>
          <w:p>
            <w:pPr>
              <w:adjustRightInd w:val="0"/>
              <w:snapToGrid w:val="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4" w:type="pct"/>
            <w:vAlign w:val="center"/>
          </w:tcPr>
          <w:p>
            <w:pPr>
              <w:adjustRightInd w:val="0"/>
              <w:snapToGrid w:val="0"/>
              <w:rPr>
                <w:rFonts w:ascii="仿宋_GB2312" w:eastAsia="仿宋_GB2312"/>
                <w:szCs w:val="21"/>
              </w:rPr>
            </w:pPr>
            <w:r>
              <w:rPr>
                <w:rFonts w:hint="eastAsia" w:ascii="仿宋_GB2312" w:eastAsia="仿宋_GB2312"/>
                <w:szCs w:val="21"/>
              </w:rPr>
              <w:t>债券品种</w:t>
            </w:r>
          </w:p>
        </w:tc>
        <w:tc>
          <w:tcPr>
            <w:tcW w:w="3356" w:type="pct"/>
            <w:vAlign w:val="center"/>
          </w:tcPr>
          <w:p>
            <w:pPr>
              <w:adjustRightInd w:val="0"/>
              <w:snapToGrid w:val="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4" w:type="pct"/>
            <w:vAlign w:val="center"/>
          </w:tcPr>
          <w:p>
            <w:pPr>
              <w:adjustRightInd w:val="0"/>
              <w:snapToGrid w:val="0"/>
              <w:rPr>
                <w:rFonts w:ascii="仿宋_GB2312" w:eastAsia="仿宋_GB2312"/>
                <w:szCs w:val="21"/>
              </w:rPr>
            </w:pPr>
            <w:r>
              <w:rPr>
                <w:rFonts w:hint="eastAsia" w:ascii="仿宋_GB2312" w:eastAsia="仿宋_GB2312"/>
                <w:szCs w:val="21"/>
              </w:rPr>
              <w:t>担保情况</w:t>
            </w:r>
          </w:p>
        </w:tc>
        <w:tc>
          <w:tcPr>
            <w:tcW w:w="3356" w:type="pct"/>
            <w:vAlign w:val="center"/>
          </w:tcPr>
          <w:p>
            <w:pPr>
              <w:adjustRightInd w:val="0"/>
              <w:snapToGrid w:val="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4" w:type="pct"/>
            <w:vAlign w:val="center"/>
          </w:tcPr>
          <w:p>
            <w:pPr>
              <w:adjustRightInd w:val="0"/>
              <w:snapToGrid w:val="0"/>
              <w:rPr>
                <w:rFonts w:ascii="仿宋_GB2312" w:eastAsia="仿宋_GB2312"/>
                <w:szCs w:val="21"/>
              </w:rPr>
            </w:pPr>
            <w:r>
              <w:rPr>
                <w:rFonts w:hint="eastAsia" w:ascii="仿宋_GB2312" w:eastAsia="仿宋_GB2312"/>
                <w:szCs w:val="21"/>
              </w:rPr>
              <w:t>信用级别及资信评级机构</w:t>
            </w:r>
          </w:p>
        </w:tc>
        <w:tc>
          <w:tcPr>
            <w:tcW w:w="3356" w:type="pct"/>
            <w:vAlign w:val="center"/>
          </w:tcPr>
          <w:p>
            <w:pPr>
              <w:adjustRightInd w:val="0"/>
              <w:snapToGrid w:val="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4" w:type="pct"/>
            <w:vAlign w:val="center"/>
          </w:tcPr>
          <w:p>
            <w:pPr>
              <w:adjustRightInd w:val="0"/>
              <w:snapToGrid w:val="0"/>
              <w:rPr>
                <w:rFonts w:ascii="仿宋_GB2312" w:eastAsia="仿宋_GB2312"/>
                <w:szCs w:val="21"/>
              </w:rPr>
            </w:pPr>
            <w:r>
              <w:rPr>
                <w:rFonts w:hint="eastAsia" w:ascii="仿宋_GB2312" w:eastAsia="仿宋_GB2312"/>
                <w:szCs w:val="21"/>
              </w:rPr>
              <w:t>主承销商</w:t>
            </w:r>
          </w:p>
        </w:tc>
        <w:tc>
          <w:tcPr>
            <w:tcW w:w="3356" w:type="pct"/>
            <w:vAlign w:val="center"/>
          </w:tcPr>
          <w:p>
            <w:pPr>
              <w:adjustRightInd w:val="0"/>
              <w:snapToGrid w:val="0"/>
              <w:rPr>
                <w:rFonts w:ascii="仿宋_GB2312" w:eastAsia="仿宋_GB2312"/>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4" w:type="pct"/>
            <w:vAlign w:val="center"/>
          </w:tcPr>
          <w:p>
            <w:pPr>
              <w:adjustRightInd w:val="0"/>
              <w:snapToGrid w:val="0"/>
              <w:rPr>
                <w:rFonts w:ascii="仿宋_GB2312" w:eastAsia="仿宋_GB2312"/>
                <w:szCs w:val="21"/>
              </w:rPr>
            </w:pPr>
            <w:r>
              <w:rPr>
                <w:rFonts w:hint="eastAsia" w:ascii="仿宋_GB2312" w:eastAsia="仿宋_GB2312"/>
                <w:szCs w:val="21"/>
              </w:rPr>
              <w:t>受托管理人</w:t>
            </w:r>
          </w:p>
        </w:tc>
        <w:tc>
          <w:tcPr>
            <w:tcW w:w="3356" w:type="pct"/>
            <w:vAlign w:val="center"/>
          </w:tcPr>
          <w:p>
            <w:pPr>
              <w:adjustRightInd w:val="0"/>
              <w:snapToGrid w:val="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4" w:type="pct"/>
            <w:vAlign w:val="center"/>
          </w:tcPr>
          <w:p>
            <w:pPr>
              <w:adjustRightInd w:val="0"/>
              <w:snapToGrid w:val="0"/>
              <w:rPr>
                <w:rFonts w:ascii="仿宋_GB2312" w:eastAsia="仿宋_GB2312"/>
                <w:szCs w:val="21"/>
              </w:rPr>
            </w:pPr>
            <w:r>
              <w:rPr>
                <w:rFonts w:hint="eastAsia" w:ascii="仿宋_GB2312" w:eastAsia="仿宋_GB2312"/>
                <w:szCs w:val="21"/>
              </w:rPr>
              <w:t>募集资金用途</w:t>
            </w:r>
          </w:p>
        </w:tc>
        <w:tc>
          <w:tcPr>
            <w:tcW w:w="3356" w:type="pct"/>
            <w:vAlign w:val="center"/>
          </w:tcPr>
          <w:p>
            <w:pPr>
              <w:tabs>
                <w:tab w:val="left" w:pos="3600"/>
              </w:tabs>
              <w:adjustRightInd w:val="0"/>
              <w:snapToGrid w:val="0"/>
              <w:rPr>
                <w:rFonts w:ascii="仿宋_GB2312" w:eastAsia="仿宋_GB2312"/>
                <w:szCs w:val="21"/>
              </w:rPr>
            </w:pPr>
            <w:r>
              <w:rPr>
                <w:rFonts w:hint="eastAsia" w:ascii="仿宋_GB2312" w:eastAsia="仿宋_GB2312"/>
                <w:szCs w:val="21"/>
              </w:rPr>
              <w:t>（募集资金用途如包括借新还旧公司债券或偿还债务融资工具的，需单独列示）</w:t>
            </w:r>
          </w:p>
        </w:tc>
      </w:tr>
    </w:tbl>
    <w:p>
      <w:pPr>
        <w:tabs>
          <w:tab w:val="left" w:pos="756"/>
        </w:tabs>
        <w:spacing w:line="560" w:lineRule="exact"/>
        <w:ind w:firstLine="642" w:firstLineChars="200"/>
        <w:textAlignment w:val="baseline"/>
        <w:outlineLvl w:val="0"/>
        <w:rPr>
          <w:rFonts w:ascii="黑体" w:hAnsi="黑体" w:eastAsia="黑体"/>
          <w:b/>
          <w:kern w:val="0"/>
          <w:sz w:val="32"/>
          <w:szCs w:val="32"/>
        </w:rPr>
      </w:pPr>
      <w:r>
        <w:rPr>
          <w:rFonts w:hint="eastAsia" w:ascii="黑体" w:hAnsi="黑体" w:eastAsia="黑体"/>
          <w:b/>
          <w:kern w:val="0"/>
          <w:sz w:val="32"/>
          <w:szCs w:val="32"/>
        </w:rPr>
        <w:t>二、发行人概况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6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公司中文名称</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统一社会信用代码</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注册资本</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法定代表人</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成立日期</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注册地址</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所属行业</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控股股东</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实际控制人</w:t>
            </w:r>
          </w:p>
        </w:tc>
        <w:tc>
          <w:tcPr>
            <w:tcW w:w="6384" w:type="dxa"/>
            <w:vAlign w:val="center"/>
          </w:tcPr>
          <w:p>
            <w:pPr>
              <w:autoSpaceDE w:val="0"/>
              <w:autoSpaceDN w:val="0"/>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93" w:type="dxa"/>
            <w:vAlign w:val="center"/>
          </w:tcPr>
          <w:p>
            <w:pPr>
              <w:autoSpaceDE w:val="0"/>
              <w:autoSpaceDN w:val="0"/>
              <w:rPr>
                <w:rFonts w:ascii="仿宋_GB2312" w:eastAsia="仿宋_GB2312"/>
                <w:kern w:val="0"/>
                <w:szCs w:val="21"/>
              </w:rPr>
            </w:pPr>
            <w:r>
              <w:rPr>
                <w:rFonts w:hint="eastAsia" w:ascii="仿宋_GB2312" w:eastAsia="仿宋_GB2312"/>
                <w:kern w:val="0"/>
                <w:szCs w:val="21"/>
              </w:rPr>
              <w:t>是否为上市公司</w:t>
            </w:r>
          </w:p>
        </w:tc>
        <w:tc>
          <w:tcPr>
            <w:tcW w:w="6384" w:type="dxa"/>
            <w:vAlign w:val="center"/>
          </w:tcPr>
          <w:p>
            <w:pPr>
              <w:autoSpaceDE w:val="0"/>
              <w:autoSpaceDN w:val="0"/>
              <w:rPr>
                <w:rFonts w:ascii="仿宋_GB2312" w:eastAsia="仿宋_GB2312"/>
                <w:kern w:val="0"/>
                <w:szCs w:val="21"/>
              </w:rPr>
            </w:pPr>
            <w:r>
              <w:rPr>
                <w:rFonts w:hint="eastAsia" w:ascii="仿宋_GB2312" w:eastAsia="仿宋_GB2312"/>
                <w:kern w:val="0"/>
                <w:szCs w:val="21"/>
              </w:rPr>
              <w:t>是，股票代码为XXXXXX/否</w:t>
            </w:r>
          </w:p>
        </w:tc>
      </w:tr>
    </w:tbl>
    <w:p>
      <w:pPr>
        <w:tabs>
          <w:tab w:val="left" w:pos="756"/>
        </w:tabs>
        <w:spacing w:line="560" w:lineRule="exact"/>
        <w:ind w:firstLine="640" w:firstLineChars="200"/>
        <w:textAlignment w:val="baseline"/>
        <w:rPr>
          <w:rFonts w:ascii="仿宋_GB2312" w:hAnsi="黑体" w:eastAsia="仿宋_GB2312"/>
          <w:kern w:val="0"/>
          <w:sz w:val="32"/>
          <w:szCs w:val="32"/>
        </w:rPr>
      </w:pPr>
      <w:r>
        <w:rPr>
          <w:rFonts w:hint="eastAsia" w:ascii="仿宋_GB2312" w:hAnsi="黑体" w:eastAsia="仿宋_GB2312"/>
          <w:kern w:val="0"/>
          <w:sz w:val="32"/>
          <w:szCs w:val="32"/>
        </w:rPr>
        <w:t>截至报告期末</w:t>
      </w:r>
      <w:r>
        <w:rPr>
          <w:rFonts w:ascii="仿宋_GB2312" w:hAnsi="黑体" w:eastAsia="仿宋_GB2312"/>
          <w:kern w:val="0"/>
          <w:sz w:val="32"/>
          <w:szCs w:val="32"/>
        </w:rPr>
        <w:t>，发行人股权</w:t>
      </w:r>
      <w:r>
        <w:rPr>
          <w:rFonts w:hint="eastAsia" w:ascii="仿宋_GB2312" w:hAnsi="黑体" w:eastAsia="仿宋_GB2312"/>
          <w:kern w:val="0"/>
          <w:sz w:val="32"/>
          <w:szCs w:val="32"/>
        </w:rPr>
        <w:t>结构</w:t>
      </w:r>
      <w:r>
        <w:rPr>
          <w:rFonts w:ascii="仿宋_GB2312" w:hAnsi="黑体" w:eastAsia="仿宋_GB2312"/>
          <w:kern w:val="0"/>
          <w:sz w:val="32"/>
          <w:szCs w:val="32"/>
        </w:rPr>
        <w:t>图如下：</w:t>
      </w:r>
    </w:p>
    <w:p>
      <w:pPr>
        <w:tabs>
          <w:tab w:val="left" w:pos="756"/>
        </w:tabs>
        <w:spacing w:line="600" w:lineRule="exact"/>
        <w:ind w:firstLine="600" w:firstLineChars="200"/>
        <w:textAlignment w:val="baseline"/>
        <w:rPr>
          <w:rFonts w:ascii="仿宋_GB2312" w:hAnsi="黑体" w:eastAsia="仿宋_GB2312"/>
          <w:kern w:val="0"/>
          <w:sz w:val="30"/>
          <w:szCs w:val="30"/>
        </w:rPr>
      </w:pPr>
    </w:p>
    <w:p>
      <w:pPr>
        <w:tabs>
          <w:tab w:val="left" w:pos="756"/>
        </w:tabs>
        <w:spacing w:line="560" w:lineRule="exact"/>
        <w:ind w:firstLine="642" w:firstLineChars="200"/>
        <w:textAlignment w:val="baseline"/>
        <w:outlineLvl w:val="0"/>
        <w:rPr>
          <w:rFonts w:ascii="黑体" w:hAnsi="黑体" w:eastAsia="黑体"/>
          <w:b/>
          <w:kern w:val="0"/>
          <w:sz w:val="32"/>
          <w:szCs w:val="32"/>
        </w:rPr>
      </w:pPr>
      <w:r>
        <w:rPr>
          <w:rFonts w:hint="eastAsia" w:ascii="黑体" w:hAnsi="黑体" w:eastAsia="黑体"/>
          <w:b/>
          <w:kern w:val="0"/>
          <w:sz w:val="32"/>
          <w:szCs w:val="32"/>
        </w:rPr>
        <w:t>三、主营业务情况</w:t>
      </w:r>
    </w:p>
    <w:p>
      <w:pPr>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报告期内</w:t>
      </w:r>
      <w:r>
        <w:rPr>
          <w:rFonts w:ascii="仿宋_GB2312" w:hAnsi="微软雅黑" w:eastAsia="仿宋_GB2312"/>
          <w:sz w:val="32"/>
          <w:szCs w:val="32"/>
        </w:rPr>
        <w:t>，公司主营收入构成情况如下：</w:t>
      </w:r>
    </w:p>
    <w:p>
      <w:pPr>
        <w:widowControl/>
        <w:adjustRightInd w:val="0"/>
        <w:jc w:val="right"/>
        <w:textAlignment w:val="baseline"/>
        <w:rPr>
          <w:rFonts w:ascii="仿宋_GB2312" w:eastAsia="仿宋_GB2312"/>
          <w:color w:val="000000"/>
          <w:kern w:val="0"/>
          <w:szCs w:val="21"/>
        </w:rPr>
      </w:pPr>
      <w:r>
        <w:rPr>
          <w:rFonts w:hint="eastAsia" w:ascii="仿宋_GB2312" w:eastAsia="仿宋_GB2312"/>
          <w:color w:val="000000"/>
          <w:kern w:val="0"/>
          <w:szCs w:val="21"/>
        </w:rPr>
        <w:t>单位：亿元、%</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930"/>
        <w:gridCol w:w="930"/>
        <w:gridCol w:w="931"/>
        <w:gridCol w:w="931"/>
        <w:gridCol w:w="931"/>
        <w:gridCol w:w="931"/>
        <w:gridCol w:w="931"/>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33" w:type="pct"/>
            <w:vMerge w:val="restar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业务板块</w:t>
            </w:r>
          </w:p>
        </w:tc>
        <w:tc>
          <w:tcPr>
            <w:tcW w:w="1092" w:type="pct"/>
            <w:gridSpan w:val="2"/>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w:t>
            </w:r>
            <w:r>
              <w:rPr>
                <w:rFonts w:hint="eastAsia" w:ascii="仿宋_GB2312" w:eastAsia="仿宋_GB2312"/>
                <w:b/>
                <w:bCs/>
                <w:color w:val="000000"/>
                <w:kern w:val="0"/>
                <w:szCs w:val="21"/>
              </w:rPr>
              <w:t>XX年</w:t>
            </w:r>
            <w:r>
              <w:rPr>
                <w:rFonts w:ascii="仿宋_GB2312" w:eastAsia="仿宋_GB2312"/>
                <w:b/>
                <w:bCs/>
                <w:color w:val="000000"/>
                <w:kern w:val="0"/>
                <w:szCs w:val="21"/>
              </w:rPr>
              <w:t>1-X</w:t>
            </w:r>
            <w:r>
              <w:rPr>
                <w:rFonts w:hint="eastAsia" w:ascii="仿宋_GB2312" w:eastAsia="仿宋_GB2312"/>
                <w:b/>
                <w:bCs/>
                <w:color w:val="000000"/>
                <w:kern w:val="0"/>
                <w:szCs w:val="21"/>
              </w:rPr>
              <w:t>月</w:t>
            </w:r>
          </w:p>
        </w:tc>
        <w:tc>
          <w:tcPr>
            <w:tcW w:w="1092" w:type="pct"/>
            <w:gridSpan w:val="2"/>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c>
          <w:tcPr>
            <w:tcW w:w="1092" w:type="pct"/>
            <w:gridSpan w:val="2"/>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c>
          <w:tcPr>
            <w:tcW w:w="1092" w:type="pct"/>
            <w:gridSpan w:val="2"/>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33" w:type="pct"/>
            <w:vMerge w:val="continue"/>
            <w:vAlign w:val="center"/>
          </w:tcPr>
          <w:p>
            <w:pPr>
              <w:widowControl/>
              <w:ind w:firstLine="181"/>
              <w:jc w:val="center"/>
              <w:rPr>
                <w:rFonts w:ascii="仿宋_GB2312" w:eastAsia="仿宋_GB2312"/>
                <w:b/>
                <w:bCs/>
                <w:color w:val="000000"/>
                <w:kern w:val="0"/>
                <w:szCs w:val="21"/>
              </w:rPr>
            </w:pPr>
          </w:p>
        </w:tc>
        <w:tc>
          <w:tcPr>
            <w:tcW w:w="546"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金额</w:t>
            </w:r>
          </w:p>
        </w:tc>
        <w:tc>
          <w:tcPr>
            <w:tcW w:w="546"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占比</w:t>
            </w:r>
          </w:p>
        </w:tc>
        <w:tc>
          <w:tcPr>
            <w:tcW w:w="546"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金额</w:t>
            </w:r>
          </w:p>
        </w:tc>
        <w:tc>
          <w:tcPr>
            <w:tcW w:w="546"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占比</w:t>
            </w:r>
          </w:p>
        </w:tc>
        <w:tc>
          <w:tcPr>
            <w:tcW w:w="546"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金额</w:t>
            </w:r>
          </w:p>
        </w:tc>
        <w:tc>
          <w:tcPr>
            <w:tcW w:w="546"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占比</w:t>
            </w:r>
          </w:p>
        </w:tc>
        <w:tc>
          <w:tcPr>
            <w:tcW w:w="546"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金额</w:t>
            </w:r>
          </w:p>
        </w:tc>
        <w:tc>
          <w:tcPr>
            <w:tcW w:w="546"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3" w:type="pct"/>
            <w:vAlign w:val="center"/>
          </w:tcPr>
          <w:p>
            <w:pPr>
              <w:widowControl/>
              <w:jc w:val="center"/>
              <w:textAlignment w:val="center"/>
              <w:rPr>
                <w:rFonts w:ascii="仿宋_GB2312" w:eastAsia="仿宋_GB2312"/>
                <w:color w:val="000000"/>
                <w:kern w:val="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3" w:type="pct"/>
            <w:vAlign w:val="center"/>
          </w:tcPr>
          <w:p>
            <w:pPr>
              <w:widowControl/>
              <w:jc w:val="center"/>
              <w:textAlignment w:val="center"/>
              <w:rPr>
                <w:rFonts w:ascii="仿宋_GB2312" w:eastAsia="仿宋_GB2312"/>
                <w:color w:val="000000"/>
                <w:kern w:val="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3" w:type="pct"/>
            <w:vAlign w:val="center"/>
          </w:tcPr>
          <w:p>
            <w:pPr>
              <w:widowControl/>
              <w:jc w:val="center"/>
              <w:textAlignment w:val="center"/>
              <w:rPr>
                <w:rFonts w:ascii="仿宋_GB2312" w:eastAsia="仿宋_GB2312"/>
                <w:color w:val="000000"/>
                <w:kern w:val="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3" w:type="pct"/>
            <w:vAlign w:val="center"/>
          </w:tcPr>
          <w:p>
            <w:pPr>
              <w:widowControl/>
              <w:jc w:val="center"/>
              <w:textAlignment w:val="center"/>
              <w:rPr>
                <w:rFonts w:ascii="仿宋_GB2312" w:eastAsia="仿宋_GB2312"/>
                <w:color w:val="000000"/>
                <w:kern w:val="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c>
          <w:tcPr>
            <w:tcW w:w="546" w:type="pct"/>
            <w:vAlign w:val="center"/>
          </w:tcPr>
          <w:p>
            <w:pPr>
              <w:jc w:val="right"/>
              <w:rPr>
                <w:rFonts w:ascii="仿宋_GB2312" w:hAnsi="宋体" w:eastAsia="仿宋_GB2312" w:cs="宋体"/>
                <w:color w:val="000000"/>
                <w:szCs w:val="21"/>
              </w:rPr>
            </w:pPr>
          </w:p>
        </w:tc>
        <w:tc>
          <w:tcPr>
            <w:tcW w:w="546" w:type="pct"/>
            <w:vAlign w:val="center"/>
          </w:tcPr>
          <w:p>
            <w:pPr>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33" w:type="pct"/>
            <w:vAlign w:val="center"/>
          </w:tcPr>
          <w:p>
            <w:pPr>
              <w:widowControl/>
              <w:ind w:firstLine="105" w:firstLineChars="50"/>
              <w:jc w:val="center"/>
              <w:rPr>
                <w:rFonts w:ascii="仿宋_GB2312" w:eastAsia="仿宋_GB2312"/>
                <w:b/>
                <w:bCs/>
                <w:color w:val="000000"/>
                <w:kern w:val="0"/>
                <w:szCs w:val="21"/>
              </w:rPr>
            </w:pPr>
            <w:r>
              <w:rPr>
                <w:rFonts w:hint="eastAsia" w:ascii="仿宋_GB2312" w:eastAsia="仿宋_GB2312"/>
                <w:b/>
                <w:bCs/>
                <w:color w:val="000000"/>
                <w:kern w:val="0"/>
                <w:szCs w:val="21"/>
              </w:rPr>
              <w:t>合计</w:t>
            </w:r>
          </w:p>
        </w:tc>
        <w:tc>
          <w:tcPr>
            <w:tcW w:w="546" w:type="pct"/>
            <w:vAlign w:val="center"/>
          </w:tcPr>
          <w:p>
            <w:pPr>
              <w:jc w:val="right"/>
              <w:rPr>
                <w:rFonts w:ascii="仿宋_GB2312" w:hAnsi="宋体" w:eastAsia="仿宋_GB2312" w:cs="宋体"/>
                <w:b/>
                <w:color w:val="000000"/>
                <w:szCs w:val="21"/>
              </w:rPr>
            </w:pPr>
          </w:p>
        </w:tc>
        <w:tc>
          <w:tcPr>
            <w:tcW w:w="546" w:type="pct"/>
            <w:vAlign w:val="center"/>
          </w:tcPr>
          <w:p>
            <w:pPr>
              <w:jc w:val="right"/>
              <w:rPr>
                <w:rFonts w:ascii="仿宋_GB2312" w:eastAsia="仿宋_GB2312"/>
                <w:b/>
                <w:bCs/>
                <w:color w:val="000000"/>
                <w:szCs w:val="21"/>
              </w:rPr>
            </w:pPr>
          </w:p>
        </w:tc>
        <w:tc>
          <w:tcPr>
            <w:tcW w:w="546" w:type="pct"/>
            <w:vAlign w:val="center"/>
          </w:tcPr>
          <w:p>
            <w:pPr>
              <w:jc w:val="right"/>
              <w:rPr>
                <w:rFonts w:ascii="仿宋_GB2312" w:hAnsi="宋体" w:eastAsia="仿宋_GB2312" w:cs="宋体"/>
                <w:b/>
                <w:color w:val="000000"/>
                <w:szCs w:val="21"/>
              </w:rPr>
            </w:pPr>
          </w:p>
        </w:tc>
        <w:tc>
          <w:tcPr>
            <w:tcW w:w="546" w:type="pct"/>
            <w:vAlign w:val="center"/>
          </w:tcPr>
          <w:p>
            <w:pPr>
              <w:jc w:val="right"/>
              <w:rPr>
                <w:rFonts w:ascii="仿宋_GB2312" w:eastAsia="仿宋_GB2312"/>
                <w:b/>
                <w:bCs/>
                <w:color w:val="000000"/>
                <w:szCs w:val="21"/>
              </w:rPr>
            </w:pPr>
          </w:p>
        </w:tc>
        <w:tc>
          <w:tcPr>
            <w:tcW w:w="546" w:type="pct"/>
            <w:vAlign w:val="center"/>
          </w:tcPr>
          <w:p>
            <w:pPr>
              <w:jc w:val="right"/>
              <w:rPr>
                <w:rFonts w:ascii="仿宋_GB2312" w:hAnsi="宋体" w:eastAsia="仿宋_GB2312" w:cs="宋体"/>
                <w:b/>
                <w:color w:val="000000"/>
                <w:szCs w:val="21"/>
              </w:rPr>
            </w:pPr>
          </w:p>
        </w:tc>
        <w:tc>
          <w:tcPr>
            <w:tcW w:w="546" w:type="pct"/>
            <w:vAlign w:val="center"/>
          </w:tcPr>
          <w:p>
            <w:pPr>
              <w:jc w:val="right"/>
              <w:rPr>
                <w:rFonts w:ascii="仿宋_GB2312" w:eastAsia="仿宋_GB2312"/>
                <w:b/>
                <w:bCs/>
                <w:color w:val="000000"/>
                <w:szCs w:val="21"/>
              </w:rPr>
            </w:pPr>
          </w:p>
        </w:tc>
        <w:tc>
          <w:tcPr>
            <w:tcW w:w="546" w:type="pct"/>
            <w:vAlign w:val="center"/>
          </w:tcPr>
          <w:p>
            <w:pPr>
              <w:jc w:val="right"/>
              <w:rPr>
                <w:rFonts w:ascii="仿宋_GB2312" w:hAnsi="宋体" w:eastAsia="仿宋_GB2312" w:cs="宋体"/>
                <w:b/>
                <w:color w:val="000000"/>
                <w:szCs w:val="21"/>
              </w:rPr>
            </w:pPr>
          </w:p>
        </w:tc>
        <w:tc>
          <w:tcPr>
            <w:tcW w:w="546" w:type="pct"/>
            <w:vAlign w:val="center"/>
          </w:tcPr>
          <w:p>
            <w:pPr>
              <w:jc w:val="right"/>
              <w:rPr>
                <w:rFonts w:ascii="仿宋_GB2312" w:eastAsia="仿宋_GB2312"/>
                <w:b/>
                <w:bCs/>
                <w:color w:val="000000"/>
                <w:szCs w:val="21"/>
              </w:rPr>
            </w:pPr>
          </w:p>
        </w:tc>
      </w:tr>
    </w:tbl>
    <w:p>
      <w:pPr>
        <w:spacing w:line="560" w:lineRule="exact"/>
        <w:ind w:firstLine="640" w:firstLineChars="200"/>
        <w:rPr>
          <w:sz w:val="32"/>
          <w:szCs w:val="32"/>
        </w:rPr>
      </w:pPr>
      <w:r>
        <w:rPr>
          <w:rFonts w:hint="eastAsia" w:ascii="仿宋_GB2312" w:hAnsi="仿宋_GB2312" w:eastAsia="仿宋_GB2312"/>
          <w:sz w:val="32"/>
          <w:szCs w:val="32"/>
        </w:rPr>
        <w:t>报告期内，</w:t>
      </w:r>
      <w:r>
        <w:rPr>
          <w:rFonts w:ascii="仿宋_GB2312" w:hAnsi="仿宋_GB2312" w:eastAsia="仿宋_GB2312"/>
          <w:sz w:val="32"/>
          <w:szCs w:val="32"/>
        </w:rPr>
        <w:t>公司主营业务毛利</w:t>
      </w:r>
      <w:r>
        <w:rPr>
          <w:rFonts w:hint="eastAsia" w:ascii="仿宋_GB2312" w:hAnsi="仿宋_GB2312" w:eastAsia="仿宋_GB2312"/>
          <w:sz w:val="32"/>
          <w:szCs w:val="32"/>
        </w:rPr>
        <w:t>润</w:t>
      </w:r>
      <w:r>
        <w:rPr>
          <w:rFonts w:ascii="仿宋_GB2312" w:hAnsi="仿宋_GB2312" w:eastAsia="仿宋_GB2312"/>
          <w:sz w:val="32"/>
          <w:szCs w:val="32"/>
        </w:rPr>
        <w:t>情况如下：</w:t>
      </w:r>
    </w:p>
    <w:p>
      <w:pPr>
        <w:widowControl/>
        <w:adjustRightInd w:val="0"/>
        <w:jc w:val="right"/>
        <w:textAlignment w:val="baseline"/>
        <w:rPr>
          <w:rFonts w:ascii="仿宋_GB2312" w:eastAsia="仿宋_GB2312"/>
          <w:color w:val="000000"/>
          <w:kern w:val="0"/>
          <w:szCs w:val="21"/>
        </w:rPr>
      </w:pPr>
      <w:r>
        <w:rPr>
          <w:rFonts w:hint="eastAsia" w:ascii="仿宋_GB2312" w:eastAsia="仿宋_GB2312"/>
          <w:color w:val="000000"/>
          <w:kern w:val="0"/>
          <w:szCs w:val="21"/>
        </w:rPr>
        <w:t>单位：亿元、%</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6"/>
        <w:gridCol w:w="933"/>
        <w:gridCol w:w="932"/>
        <w:gridCol w:w="932"/>
        <w:gridCol w:w="932"/>
        <w:gridCol w:w="932"/>
        <w:gridCol w:w="932"/>
        <w:gridCol w:w="932"/>
        <w:gridCol w:w="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25" w:type="pct"/>
            <w:vMerge w:val="restar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业务板块</w:t>
            </w:r>
          </w:p>
        </w:tc>
        <w:tc>
          <w:tcPr>
            <w:tcW w:w="1094" w:type="pct"/>
            <w:gridSpan w:val="2"/>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w:t>
            </w:r>
            <w:r>
              <w:rPr>
                <w:rFonts w:hint="eastAsia" w:ascii="仿宋_GB2312" w:eastAsia="仿宋_GB2312"/>
                <w:b/>
                <w:bCs/>
                <w:color w:val="000000"/>
                <w:kern w:val="0"/>
                <w:szCs w:val="21"/>
              </w:rPr>
              <w:t>XX年</w:t>
            </w:r>
            <w:r>
              <w:rPr>
                <w:rFonts w:ascii="仿宋_GB2312" w:eastAsia="仿宋_GB2312"/>
                <w:b/>
                <w:bCs/>
                <w:color w:val="000000"/>
                <w:kern w:val="0"/>
                <w:szCs w:val="21"/>
              </w:rPr>
              <w:t>1-X</w:t>
            </w:r>
            <w:r>
              <w:rPr>
                <w:rFonts w:hint="eastAsia" w:ascii="仿宋_GB2312" w:eastAsia="仿宋_GB2312"/>
                <w:b/>
                <w:bCs/>
                <w:color w:val="000000"/>
                <w:kern w:val="0"/>
                <w:szCs w:val="21"/>
              </w:rPr>
              <w:t>月</w:t>
            </w:r>
          </w:p>
        </w:tc>
        <w:tc>
          <w:tcPr>
            <w:tcW w:w="1094" w:type="pct"/>
            <w:gridSpan w:val="2"/>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c>
          <w:tcPr>
            <w:tcW w:w="1094" w:type="pct"/>
            <w:gridSpan w:val="2"/>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c>
          <w:tcPr>
            <w:tcW w:w="1094" w:type="pct"/>
            <w:gridSpan w:val="2"/>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25" w:type="pct"/>
            <w:vMerge w:val="continue"/>
            <w:vAlign w:val="center"/>
          </w:tcPr>
          <w:p>
            <w:pPr>
              <w:widowControl/>
              <w:ind w:firstLine="181"/>
              <w:jc w:val="center"/>
              <w:rPr>
                <w:rFonts w:ascii="仿宋_GB2312" w:eastAsia="仿宋_GB2312"/>
                <w:b/>
                <w:bCs/>
                <w:color w:val="000000"/>
                <w:kern w:val="0"/>
                <w:szCs w:val="21"/>
              </w:rPr>
            </w:pPr>
          </w:p>
        </w:tc>
        <w:tc>
          <w:tcPr>
            <w:tcW w:w="547"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金额</w:t>
            </w:r>
          </w:p>
        </w:tc>
        <w:tc>
          <w:tcPr>
            <w:tcW w:w="547"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占比</w:t>
            </w:r>
          </w:p>
        </w:tc>
        <w:tc>
          <w:tcPr>
            <w:tcW w:w="547"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金额</w:t>
            </w:r>
          </w:p>
        </w:tc>
        <w:tc>
          <w:tcPr>
            <w:tcW w:w="547"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占比</w:t>
            </w:r>
          </w:p>
        </w:tc>
        <w:tc>
          <w:tcPr>
            <w:tcW w:w="547"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金额</w:t>
            </w:r>
          </w:p>
        </w:tc>
        <w:tc>
          <w:tcPr>
            <w:tcW w:w="547"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占比</w:t>
            </w:r>
          </w:p>
        </w:tc>
        <w:tc>
          <w:tcPr>
            <w:tcW w:w="547"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金额</w:t>
            </w:r>
          </w:p>
        </w:tc>
        <w:tc>
          <w:tcPr>
            <w:tcW w:w="547"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widowControl/>
              <w:textAlignment w:val="center"/>
              <w:rPr>
                <w:rFonts w:ascii="仿宋_GB2312" w:eastAsia="仿宋_GB2312"/>
                <w:color w:val="000000"/>
                <w:kern w:val="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widowControl/>
              <w:textAlignment w:val="center"/>
              <w:rPr>
                <w:rFonts w:ascii="仿宋_GB2312" w:eastAsia="仿宋_GB2312"/>
                <w:color w:val="000000"/>
                <w:kern w:val="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widowControl/>
              <w:textAlignment w:val="center"/>
              <w:rPr>
                <w:rFonts w:ascii="仿宋_GB2312" w:eastAsia="仿宋_GB2312"/>
                <w:color w:val="000000"/>
                <w:kern w:val="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widowControl/>
              <w:textAlignment w:val="center"/>
              <w:rPr>
                <w:rFonts w:ascii="仿宋_GB2312" w:eastAsia="仿宋_GB2312"/>
                <w:color w:val="000000"/>
                <w:kern w:val="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c>
          <w:tcPr>
            <w:tcW w:w="547" w:type="pct"/>
            <w:vAlign w:val="center"/>
          </w:tcPr>
          <w:p>
            <w:pPr>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5" w:type="pct"/>
            <w:vAlign w:val="center"/>
          </w:tcPr>
          <w:p>
            <w:pPr>
              <w:widowControl/>
              <w:jc w:val="center"/>
              <w:rPr>
                <w:rFonts w:ascii="仿宋_GB2312" w:eastAsia="仿宋_GB2312"/>
                <w:b/>
                <w:bCs/>
                <w:color w:val="000000"/>
                <w:kern w:val="0"/>
                <w:szCs w:val="21"/>
              </w:rPr>
            </w:pPr>
            <w:r>
              <w:rPr>
                <w:rFonts w:hint="eastAsia" w:ascii="仿宋_GB2312" w:eastAsia="仿宋_GB2312"/>
                <w:b/>
                <w:bCs/>
                <w:color w:val="000000"/>
                <w:kern w:val="0"/>
                <w:szCs w:val="21"/>
              </w:rPr>
              <w:t>合计</w:t>
            </w:r>
          </w:p>
        </w:tc>
        <w:tc>
          <w:tcPr>
            <w:tcW w:w="547" w:type="pct"/>
            <w:vAlign w:val="center"/>
          </w:tcPr>
          <w:p>
            <w:pPr>
              <w:jc w:val="right"/>
              <w:rPr>
                <w:rFonts w:ascii="仿宋_GB2312" w:eastAsia="仿宋_GB2312"/>
                <w:b/>
                <w:color w:val="000000"/>
                <w:szCs w:val="21"/>
              </w:rPr>
            </w:pPr>
          </w:p>
        </w:tc>
        <w:tc>
          <w:tcPr>
            <w:tcW w:w="547" w:type="pct"/>
            <w:vAlign w:val="center"/>
          </w:tcPr>
          <w:p>
            <w:pPr>
              <w:jc w:val="right"/>
              <w:rPr>
                <w:rFonts w:ascii="仿宋_GB2312" w:eastAsia="仿宋_GB2312"/>
                <w:b/>
                <w:bCs/>
                <w:color w:val="000000"/>
                <w:szCs w:val="21"/>
              </w:rPr>
            </w:pPr>
          </w:p>
        </w:tc>
        <w:tc>
          <w:tcPr>
            <w:tcW w:w="547" w:type="pct"/>
            <w:vAlign w:val="center"/>
          </w:tcPr>
          <w:p>
            <w:pPr>
              <w:jc w:val="right"/>
              <w:rPr>
                <w:rFonts w:ascii="仿宋_GB2312" w:eastAsia="仿宋_GB2312"/>
                <w:b/>
                <w:color w:val="000000"/>
                <w:szCs w:val="21"/>
              </w:rPr>
            </w:pPr>
          </w:p>
        </w:tc>
        <w:tc>
          <w:tcPr>
            <w:tcW w:w="547" w:type="pct"/>
            <w:vAlign w:val="center"/>
          </w:tcPr>
          <w:p>
            <w:pPr>
              <w:jc w:val="right"/>
              <w:rPr>
                <w:rFonts w:ascii="仿宋_GB2312" w:eastAsia="仿宋_GB2312"/>
                <w:b/>
                <w:bCs/>
                <w:color w:val="000000"/>
                <w:szCs w:val="21"/>
              </w:rPr>
            </w:pPr>
          </w:p>
        </w:tc>
        <w:tc>
          <w:tcPr>
            <w:tcW w:w="547" w:type="pct"/>
            <w:vAlign w:val="center"/>
          </w:tcPr>
          <w:p>
            <w:pPr>
              <w:jc w:val="right"/>
              <w:rPr>
                <w:rFonts w:ascii="仿宋_GB2312" w:eastAsia="仿宋_GB2312"/>
                <w:b/>
                <w:color w:val="000000"/>
                <w:szCs w:val="21"/>
              </w:rPr>
            </w:pPr>
          </w:p>
        </w:tc>
        <w:tc>
          <w:tcPr>
            <w:tcW w:w="547" w:type="pct"/>
            <w:vAlign w:val="center"/>
          </w:tcPr>
          <w:p>
            <w:pPr>
              <w:jc w:val="right"/>
              <w:rPr>
                <w:rFonts w:ascii="仿宋_GB2312" w:eastAsia="仿宋_GB2312"/>
                <w:b/>
                <w:bCs/>
                <w:color w:val="000000"/>
                <w:szCs w:val="21"/>
              </w:rPr>
            </w:pPr>
          </w:p>
        </w:tc>
        <w:tc>
          <w:tcPr>
            <w:tcW w:w="547" w:type="pct"/>
            <w:vAlign w:val="center"/>
          </w:tcPr>
          <w:p>
            <w:pPr>
              <w:jc w:val="right"/>
              <w:rPr>
                <w:rFonts w:ascii="仿宋_GB2312" w:eastAsia="仿宋_GB2312"/>
                <w:b/>
                <w:color w:val="000000"/>
                <w:szCs w:val="21"/>
              </w:rPr>
            </w:pPr>
          </w:p>
        </w:tc>
        <w:tc>
          <w:tcPr>
            <w:tcW w:w="547" w:type="pct"/>
            <w:vAlign w:val="center"/>
          </w:tcPr>
          <w:p>
            <w:pPr>
              <w:jc w:val="right"/>
              <w:rPr>
                <w:rFonts w:ascii="仿宋_GB2312" w:eastAsia="仿宋_GB2312"/>
                <w:b/>
                <w:bCs/>
                <w:color w:val="000000"/>
                <w:szCs w:val="21"/>
              </w:rPr>
            </w:pPr>
          </w:p>
        </w:tc>
      </w:tr>
    </w:tbl>
    <w:p>
      <w:pPr>
        <w:spacing w:line="560" w:lineRule="exact"/>
        <w:ind w:firstLine="640" w:firstLineChars="200"/>
        <w:rPr>
          <w:sz w:val="32"/>
          <w:szCs w:val="32"/>
        </w:rPr>
      </w:pPr>
      <w:r>
        <w:rPr>
          <w:rFonts w:hint="eastAsia" w:ascii="仿宋_GB2312" w:hAnsi="仿宋_GB2312" w:eastAsia="仿宋_GB2312"/>
          <w:sz w:val="32"/>
          <w:szCs w:val="32"/>
        </w:rPr>
        <w:t>报告期内，</w:t>
      </w:r>
      <w:r>
        <w:rPr>
          <w:rFonts w:ascii="仿宋_GB2312" w:hAnsi="仿宋_GB2312" w:eastAsia="仿宋_GB2312"/>
          <w:sz w:val="32"/>
          <w:szCs w:val="32"/>
        </w:rPr>
        <w:t>公司主营业务毛利率情况如下：</w:t>
      </w:r>
    </w:p>
    <w:p>
      <w:pPr>
        <w:widowControl/>
        <w:adjustRightInd w:val="0"/>
        <w:jc w:val="right"/>
        <w:textAlignment w:val="baseline"/>
        <w:rPr>
          <w:rFonts w:ascii="仿宋_GB2312" w:eastAsia="仿宋_GB2312"/>
          <w:color w:val="000000"/>
          <w:kern w:val="0"/>
          <w:szCs w:val="21"/>
        </w:rPr>
      </w:pPr>
      <w:r>
        <w:rPr>
          <w:rFonts w:hint="eastAsia" w:ascii="仿宋_GB2312" w:eastAsia="仿宋_GB2312"/>
          <w:color w:val="000000"/>
          <w:kern w:val="0"/>
          <w:szCs w:val="21"/>
        </w:rPr>
        <w:t>单位：%</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2"/>
        <w:gridCol w:w="1710"/>
        <w:gridCol w:w="1710"/>
        <w:gridCol w:w="1710"/>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7" w:type="pct"/>
            <w:shd w:val="clear" w:color="auto" w:fill="auto"/>
            <w:vAlign w:val="center"/>
          </w:tcPr>
          <w:p>
            <w:pPr>
              <w:widowControl/>
              <w:jc w:val="center"/>
              <w:rPr>
                <w:rFonts w:ascii="仿宋_GB2312" w:eastAsia="仿宋_GB2312"/>
                <w:b/>
                <w:bCs/>
                <w:color w:val="000000"/>
                <w:szCs w:val="21"/>
              </w:rPr>
            </w:pPr>
            <w:r>
              <w:rPr>
                <w:rFonts w:hint="eastAsia" w:ascii="仿宋_GB2312" w:eastAsia="仿宋_GB2312"/>
                <w:b/>
                <w:bCs/>
                <w:color w:val="000000"/>
                <w:szCs w:val="21"/>
              </w:rPr>
              <w:t>业务板块</w:t>
            </w:r>
          </w:p>
        </w:tc>
        <w:tc>
          <w:tcPr>
            <w:tcW w:w="1003" w:type="pct"/>
            <w:shd w:val="clear" w:color="auto" w:fill="auto"/>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w:t>
            </w:r>
            <w:r>
              <w:rPr>
                <w:rFonts w:hint="eastAsia" w:ascii="仿宋_GB2312" w:eastAsia="仿宋_GB2312"/>
                <w:b/>
                <w:bCs/>
                <w:color w:val="000000"/>
                <w:kern w:val="0"/>
                <w:szCs w:val="21"/>
              </w:rPr>
              <w:t>XX年</w:t>
            </w:r>
            <w:r>
              <w:rPr>
                <w:rFonts w:ascii="仿宋_GB2312" w:eastAsia="仿宋_GB2312"/>
                <w:b/>
                <w:bCs/>
                <w:color w:val="000000"/>
                <w:kern w:val="0"/>
                <w:szCs w:val="21"/>
              </w:rPr>
              <w:t>1-X</w:t>
            </w:r>
            <w:r>
              <w:rPr>
                <w:rFonts w:hint="eastAsia" w:ascii="仿宋_GB2312" w:eastAsia="仿宋_GB2312"/>
                <w:b/>
                <w:bCs/>
                <w:color w:val="000000"/>
                <w:kern w:val="0"/>
                <w:szCs w:val="21"/>
              </w:rPr>
              <w:t>月</w:t>
            </w:r>
          </w:p>
        </w:tc>
        <w:tc>
          <w:tcPr>
            <w:tcW w:w="1003" w:type="pct"/>
            <w:shd w:val="clear" w:color="auto" w:fill="auto"/>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c>
          <w:tcPr>
            <w:tcW w:w="1003" w:type="pct"/>
            <w:shd w:val="clear" w:color="auto" w:fill="auto"/>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c>
          <w:tcPr>
            <w:tcW w:w="1003" w:type="pct"/>
            <w:shd w:val="clear" w:color="auto" w:fill="auto"/>
            <w:vAlign w:val="center"/>
          </w:tcPr>
          <w:p>
            <w:pPr>
              <w:widowControl/>
              <w:jc w:val="center"/>
              <w:rPr>
                <w:rFonts w:ascii="仿宋_GB2312" w:eastAsia="仿宋_GB2312"/>
                <w:b/>
                <w:bCs/>
                <w:color w:val="000000"/>
                <w:kern w:val="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7" w:type="pct"/>
            <w:shd w:val="clear" w:color="auto" w:fill="auto"/>
            <w:vAlign w:val="center"/>
          </w:tcPr>
          <w:p>
            <w:pPr>
              <w:widowControl/>
              <w:jc w:val="lef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7" w:type="pct"/>
            <w:shd w:val="clear" w:color="auto" w:fill="auto"/>
            <w:vAlign w:val="center"/>
          </w:tcPr>
          <w:p>
            <w:pPr>
              <w:widowControl/>
              <w:jc w:val="lef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7" w:type="pct"/>
            <w:shd w:val="clear" w:color="auto" w:fill="auto"/>
            <w:vAlign w:val="center"/>
          </w:tcPr>
          <w:p>
            <w:pPr>
              <w:widowControl/>
              <w:jc w:val="lef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7" w:type="pct"/>
            <w:shd w:val="clear" w:color="auto" w:fill="auto"/>
            <w:vAlign w:val="center"/>
          </w:tcPr>
          <w:p>
            <w:pPr>
              <w:widowControl/>
              <w:jc w:val="lef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c>
          <w:tcPr>
            <w:tcW w:w="1003" w:type="pct"/>
            <w:shd w:val="clear" w:color="auto" w:fill="auto"/>
            <w:vAlign w:val="center"/>
          </w:tcPr>
          <w:p>
            <w:pPr>
              <w:widowControl/>
              <w:jc w:val="right"/>
              <w:rPr>
                <w:rFonts w:ascii="仿宋_GB2312"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7" w:type="pct"/>
            <w:shd w:val="clear" w:color="auto" w:fill="auto"/>
            <w:vAlign w:val="center"/>
          </w:tcPr>
          <w:p>
            <w:pPr>
              <w:widowControl/>
              <w:jc w:val="center"/>
              <w:rPr>
                <w:rFonts w:ascii="仿宋_GB2312" w:eastAsia="仿宋_GB2312"/>
                <w:b/>
                <w:bCs/>
                <w:color w:val="000000"/>
                <w:szCs w:val="21"/>
              </w:rPr>
            </w:pPr>
            <w:r>
              <w:rPr>
                <w:rFonts w:hint="eastAsia" w:ascii="仿宋_GB2312" w:eastAsia="仿宋_GB2312"/>
                <w:b/>
                <w:bCs/>
                <w:color w:val="000000"/>
                <w:szCs w:val="21"/>
              </w:rPr>
              <w:t>综合毛利率</w:t>
            </w:r>
          </w:p>
        </w:tc>
        <w:tc>
          <w:tcPr>
            <w:tcW w:w="1003" w:type="pct"/>
            <w:shd w:val="clear" w:color="auto" w:fill="auto"/>
            <w:vAlign w:val="center"/>
          </w:tcPr>
          <w:p>
            <w:pPr>
              <w:widowControl/>
              <w:jc w:val="right"/>
              <w:rPr>
                <w:rFonts w:ascii="仿宋_GB2312" w:eastAsia="仿宋_GB2312"/>
                <w:b/>
                <w:bCs/>
                <w:color w:val="000000"/>
                <w:szCs w:val="21"/>
              </w:rPr>
            </w:pPr>
          </w:p>
        </w:tc>
        <w:tc>
          <w:tcPr>
            <w:tcW w:w="1003" w:type="pct"/>
            <w:shd w:val="clear" w:color="auto" w:fill="auto"/>
            <w:vAlign w:val="center"/>
          </w:tcPr>
          <w:p>
            <w:pPr>
              <w:widowControl/>
              <w:jc w:val="right"/>
              <w:rPr>
                <w:rFonts w:ascii="仿宋_GB2312" w:eastAsia="仿宋_GB2312"/>
                <w:b/>
                <w:bCs/>
                <w:color w:val="000000"/>
                <w:szCs w:val="21"/>
              </w:rPr>
            </w:pPr>
          </w:p>
        </w:tc>
        <w:tc>
          <w:tcPr>
            <w:tcW w:w="1003" w:type="pct"/>
            <w:shd w:val="clear" w:color="auto" w:fill="auto"/>
            <w:vAlign w:val="center"/>
          </w:tcPr>
          <w:p>
            <w:pPr>
              <w:widowControl/>
              <w:jc w:val="right"/>
              <w:rPr>
                <w:rFonts w:ascii="仿宋_GB2312" w:eastAsia="仿宋_GB2312"/>
                <w:b/>
                <w:bCs/>
                <w:color w:val="000000"/>
                <w:szCs w:val="21"/>
              </w:rPr>
            </w:pPr>
          </w:p>
        </w:tc>
        <w:tc>
          <w:tcPr>
            <w:tcW w:w="1003" w:type="pct"/>
            <w:shd w:val="clear" w:color="auto" w:fill="auto"/>
            <w:vAlign w:val="center"/>
          </w:tcPr>
          <w:p>
            <w:pPr>
              <w:widowControl/>
              <w:jc w:val="right"/>
              <w:rPr>
                <w:rFonts w:ascii="仿宋_GB2312" w:eastAsia="仿宋_GB2312"/>
                <w:b/>
                <w:bCs/>
                <w:color w:val="000000"/>
                <w:szCs w:val="21"/>
              </w:rPr>
            </w:pPr>
          </w:p>
        </w:tc>
      </w:tr>
    </w:tbl>
    <w:p>
      <w:pPr>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就发行人主营业务收入或毛利润占比或</w:t>
      </w:r>
      <w:r>
        <w:rPr>
          <w:rFonts w:hint="eastAsia" w:ascii="仿宋_GB2312" w:hAnsi="仿宋_GB2312" w:eastAsia="仿宋_GB2312"/>
          <w:sz w:val="32"/>
          <w:szCs w:val="32"/>
        </w:rPr>
        <w:t>变动幅度较大</w:t>
      </w:r>
      <w:r>
        <w:rPr>
          <w:rFonts w:hint="eastAsia" w:ascii="仿宋_GB2312" w:hAnsi="微软雅黑" w:eastAsia="仿宋_GB2312"/>
          <w:sz w:val="32"/>
          <w:szCs w:val="32"/>
        </w:rPr>
        <w:t>的板块运营情况简要进行分析说明。（要求</w:t>
      </w:r>
      <w:r>
        <w:rPr>
          <w:rFonts w:ascii="仿宋_GB2312" w:hAnsi="微软雅黑" w:eastAsia="仿宋_GB2312"/>
          <w:sz w:val="32"/>
          <w:szCs w:val="32"/>
        </w:rPr>
        <w:t>语言</w:t>
      </w:r>
      <w:r>
        <w:rPr>
          <w:rFonts w:hint="eastAsia" w:ascii="仿宋_GB2312" w:hAnsi="微软雅黑" w:eastAsia="仿宋_GB2312"/>
          <w:sz w:val="32"/>
          <w:szCs w:val="32"/>
        </w:rPr>
        <w:t>精简、概括、突出重点，</w:t>
      </w:r>
      <w:r>
        <w:rPr>
          <w:rFonts w:ascii="仿宋_GB2312" w:hAnsi="微软雅黑" w:eastAsia="仿宋_GB2312"/>
          <w:sz w:val="32"/>
          <w:szCs w:val="32"/>
        </w:rPr>
        <w:t>避免直接复制募集说明</w:t>
      </w:r>
      <w:r>
        <w:rPr>
          <w:rFonts w:hint="eastAsia" w:ascii="仿宋_GB2312" w:hAnsi="微软雅黑" w:eastAsia="仿宋_GB2312"/>
          <w:sz w:val="32"/>
          <w:szCs w:val="32"/>
        </w:rPr>
        <w:t>书</w:t>
      </w:r>
      <w:r>
        <w:rPr>
          <w:rFonts w:ascii="仿宋_GB2312" w:hAnsi="微软雅黑" w:eastAsia="仿宋_GB2312"/>
          <w:sz w:val="32"/>
          <w:szCs w:val="32"/>
        </w:rPr>
        <w:t>，</w:t>
      </w:r>
      <w:r>
        <w:rPr>
          <w:rFonts w:hint="eastAsia" w:ascii="仿宋_GB2312" w:hAnsi="微软雅黑" w:eastAsia="仿宋_GB2312"/>
          <w:sz w:val="32"/>
          <w:szCs w:val="32"/>
        </w:rPr>
        <w:t>无</w:t>
      </w:r>
      <w:r>
        <w:rPr>
          <w:rFonts w:ascii="仿宋_GB2312" w:hAnsi="微软雅黑" w:eastAsia="仿宋_GB2312"/>
          <w:sz w:val="32"/>
          <w:szCs w:val="32"/>
        </w:rPr>
        <w:t>特殊情况每个业务板块不超过300字）</w:t>
      </w:r>
    </w:p>
    <w:p>
      <w:pPr>
        <w:widowControl/>
        <w:adjustRightInd w:val="0"/>
        <w:snapToGrid w:val="0"/>
        <w:spacing w:line="560" w:lineRule="exact"/>
        <w:ind w:firstLine="642" w:firstLineChars="200"/>
        <w:rPr>
          <w:rFonts w:ascii="黑体" w:hAnsi="黑体" w:eastAsia="黑体"/>
          <w:b/>
          <w:color w:val="000000"/>
          <w:kern w:val="0"/>
          <w:sz w:val="32"/>
          <w:szCs w:val="32"/>
          <w:lang w:bidi="en-US"/>
        </w:rPr>
      </w:pPr>
      <w:r>
        <w:rPr>
          <w:rFonts w:hint="eastAsia" w:ascii="黑体" w:hAnsi="黑体" w:eastAsia="黑体"/>
          <w:b/>
          <w:color w:val="000000"/>
          <w:kern w:val="0"/>
          <w:sz w:val="32"/>
          <w:szCs w:val="32"/>
          <w:lang w:bidi="en-US"/>
        </w:rPr>
        <w:t>四、发行人</w:t>
      </w:r>
      <w:r>
        <w:rPr>
          <w:rFonts w:ascii="黑体" w:hAnsi="黑体" w:eastAsia="黑体"/>
          <w:b/>
          <w:color w:val="000000"/>
          <w:kern w:val="0"/>
          <w:sz w:val="32"/>
          <w:szCs w:val="32"/>
          <w:lang w:bidi="en-US"/>
        </w:rPr>
        <w:t>主要财务数据和财务指标</w:t>
      </w:r>
    </w:p>
    <w:p>
      <w:pPr>
        <w:tabs>
          <w:tab w:val="left" w:pos="0"/>
        </w:tabs>
        <w:spacing w:line="560" w:lineRule="exact"/>
        <w:ind w:firstLine="640" w:firstLineChars="200"/>
        <w:rPr>
          <w:rFonts w:ascii="仿宋_GB2312" w:hAnsi="楷体_GB2312" w:eastAsia="仿宋_GB2312"/>
          <w:bCs/>
          <w:sz w:val="32"/>
          <w:szCs w:val="32"/>
        </w:rPr>
      </w:pPr>
      <w:r>
        <w:rPr>
          <w:rFonts w:hint="eastAsia" w:ascii="仿宋_GB2312" w:hAnsi="楷体_GB2312" w:eastAsia="仿宋_GB2312"/>
          <w:bCs/>
          <w:sz w:val="32"/>
          <w:szCs w:val="32"/>
        </w:rPr>
        <w:t>发行人合并报表主要财务数据和财务指标如下表所示：</w:t>
      </w:r>
    </w:p>
    <w:tbl>
      <w:tblPr>
        <w:tblStyle w:val="10"/>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5"/>
        <w:gridCol w:w="1140"/>
        <w:gridCol w:w="1104"/>
        <w:gridCol w:w="1127"/>
        <w:gridCol w:w="1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shd w:val="clear" w:color="auto" w:fill="auto"/>
            <w:vAlign w:val="center"/>
          </w:tcPr>
          <w:p>
            <w:pPr>
              <w:widowControl/>
              <w:adjustRightInd w:val="0"/>
              <w:snapToGrid w:val="0"/>
              <w:jc w:val="center"/>
              <w:rPr>
                <w:rFonts w:ascii="仿宋_GB2312" w:hAnsi="黑体" w:eastAsia="仿宋_GB2312"/>
                <w:kern w:val="0"/>
                <w:szCs w:val="21"/>
              </w:rPr>
            </w:pPr>
            <w:r>
              <w:rPr>
                <w:rFonts w:hint="eastAsia" w:ascii="仿宋_GB2312" w:hAnsi="黑体" w:eastAsia="仿宋_GB2312"/>
                <w:b/>
                <w:bCs/>
                <w:kern w:val="0"/>
                <w:szCs w:val="21"/>
              </w:rPr>
              <w:t>项目</w:t>
            </w:r>
          </w:p>
        </w:tc>
        <w:tc>
          <w:tcPr>
            <w:tcW w:w="1140" w:type="dxa"/>
            <w:shd w:val="clear" w:color="auto" w:fill="auto"/>
            <w:vAlign w:val="center"/>
          </w:tcPr>
          <w:p>
            <w:pPr>
              <w:widowControl/>
              <w:adjustRightInd w:val="0"/>
              <w:snapToGrid w:val="0"/>
              <w:jc w:val="center"/>
              <w:rPr>
                <w:rFonts w:ascii="仿宋_GB2312" w:hAnsi="黑体" w:eastAsia="仿宋_GB2312"/>
                <w:kern w:val="0"/>
                <w:szCs w:val="21"/>
              </w:rPr>
            </w:pPr>
            <w:r>
              <w:rPr>
                <w:rFonts w:ascii="仿宋_GB2312" w:hAnsi="Times New Roman" w:eastAsia="仿宋_GB2312"/>
                <w:b/>
                <w:bCs/>
                <w:color w:val="000000"/>
                <w:kern w:val="0"/>
                <w:szCs w:val="21"/>
                <w:lang w:eastAsia="en-US" w:bidi="en-US"/>
              </w:rPr>
              <w:t>20</w:t>
            </w:r>
            <w:r>
              <w:rPr>
                <w:rFonts w:hint="eastAsia" w:ascii="仿宋_GB2312" w:hAnsi="Times New Roman" w:eastAsia="仿宋_GB2312"/>
                <w:b/>
                <w:bCs/>
                <w:color w:val="000000"/>
                <w:kern w:val="0"/>
                <w:szCs w:val="21"/>
                <w:lang w:bidi="en-US"/>
              </w:rPr>
              <w:t>XX</w:t>
            </w:r>
            <w:r>
              <w:rPr>
                <w:rFonts w:hint="eastAsia" w:ascii="仿宋_GB2312" w:hAnsi="Times New Roman" w:eastAsia="仿宋_GB2312"/>
                <w:b/>
                <w:bCs/>
                <w:color w:val="000000"/>
                <w:kern w:val="0"/>
                <w:szCs w:val="21"/>
                <w:lang w:eastAsia="en-US" w:bidi="en-US"/>
              </w:rPr>
              <w:t>年X-X月</w:t>
            </w:r>
          </w:p>
        </w:tc>
        <w:tc>
          <w:tcPr>
            <w:tcW w:w="1104" w:type="dxa"/>
            <w:shd w:val="clear" w:color="auto" w:fill="auto"/>
            <w:vAlign w:val="center"/>
          </w:tcPr>
          <w:p>
            <w:pPr>
              <w:widowControl/>
              <w:adjustRightInd w:val="0"/>
              <w:snapToGrid w:val="0"/>
              <w:jc w:val="center"/>
              <w:rPr>
                <w:rFonts w:ascii="仿宋_GB2312" w:hAnsi="黑体" w:eastAsia="仿宋_GB2312"/>
                <w:kern w:val="0"/>
                <w:szCs w:val="21"/>
              </w:rPr>
            </w:pPr>
            <w:r>
              <w:rPr>
                <w:rFonts w:ascii="仿宋_GB2312" w:hAnsi="Times New Roman" w:eastAsia="仿宋_GB2312"/>
                <w:b/>
                <w:bCs/>
                <w:color w:val="000000"/>
                <w:kern w:val="0"/>
                <w:szCs w:val="21"/>
                <w:lang w:eastAsia="en-US" w:bidi="en-US"/>
              </w:rPr>
              <w:t>20</w:t>
            </w:r>
            <w:r>
              <w:rPr>
                <w:rFonts w:hint="eastAsia" w:ascii="仿宋_GB2312" w:hAnsi="Times New Roman" w:eastAsia="仿宋_GB2312"/>
                <w:b/>
                <w:bCs/>
                <w:color w:val="000000"/>
                <w:kern w:val="0"/>
                <w:szCs w:val="21"/>
                <w:lang w:bidi="en-US"/>
              </w:rPr>
              <w:t>XX</w:t>
            </w:r>
            <w:r>
              <w:rPr>
                <w:rFonts w:hint="eastAsia" w:ascii="仿宋_GB2312" w:hAnsi="Times New Roman" w:eastAsia="仿宋_GB2312"/>
                <w:b/>
                <w:bCs/>
                <w:color w:val="000000"/>
                <w:kern w:val="0"/>
                <w:szCs w:val="21"/>
                <w:lang w:eastAsia="en-US" w:bidi="en-US"/>
              </w:rPr>
              <w:t>年</w:t>
            </w:r>
          </w:p>
        </w:tc>
        <w:tc>
          <w:tcPr>
            <w:tcW w:w="1127" w:type="dxa"/>
            <w:shd w:val="clear" w:color="auto" w:fill="auto"/>
            <w:vAlign w:val="center"/>
          </w:tcPr>
          <w:p>
            <w:pPr>
              <w:widowControl/>
              <w:adjustRightInd w:val="0"/>
              <w:snapToGrid w:val="0"/>
              <w:jc w:val="center"/>
              <w:rPr>
                <w:rFonts w:ascii="仿宋_GB2312" w:hAnsi="黑体" w:eastAsia="仿宋_GB2312"/>
                <w:kern w:val="0"/>
                <w:szCs w:val="21"/>
              </w:rPr>
            </w:pPr>
            <w:r>
              <w:rPr>
                <w:rFonts w:ascii="仿宋_GB2312" w:hAnsi="Times New Roman" w:eastAsia="仿宋_GB2312"/>
                <w:b/>
                <w:bCs/>
                <w:color w:val="000000"/>
                <w:kern w:val="0"/>
                <w:szCs w:val="21"/>
                <w:lang w:eastAsia="en-US" w:bidi="en-US"/>
              </w:rPr>
              <w:t>20</w:t>
            </w:r>
            <w:r>
              <w:rPr>
                <w:rFonts w:hint="eastAsia" w:ascii="仿宋_GB2312" w:hAnsi="Times New Roman" w:eastAsia="仿宋_GB2312"/>
                <w:b/>
                <w:bCs/>
                <w:color w:val="000000"/>
                <w:kern w:val="0"/>
                <w:szCs w:val="21"/>
                <w:lang w:bidi="en-US"/>
              </w:rPr>
              <w:t>XX</w:t>
            </w:r>
            <w:r>
              <w:rPr>
                <w:rFonts w:hint="eastAsia" w:ascii="仿宋_GB2312" w:hAnsi="Times New Roman" w:eastAsia="仿宋_GB2312"/>
                <w:b/>
                <w:bCs/>
                <w:color w:val="000000"/>
                <w:kern w:val="0"/>
                <w:szCs w:val="21"/>
                <w:lang w:eastAsia="en-US" w:bidi="en-US"/>
              </w:rPr>
              <w:t>年</w:t>
            </w:r>
          </w:p>
        </w:tc>
        <w:tc>
          <w:tcPr>
            <w:tcW w:w="1041" w:type="dxa"/>
            <w:shd w:val="clear" w:color="auto" w:fill="auto"/>
            <w:vAlign w:val="center"/>
          </w:tcPr>
          <w:p>
            <w:pPr>
              <w:widowControl/>
              <w:adjustRightInd w:val="0"/>
              <w:snapToGrid w:val="0"/>
              <w:jc w:val="center"/>
              <w:rPr>
                <w:rFonts w:ascii="仿宋_GB2312" w:hAnsi="黑体" w:eastAsia="仿宋_GB2312"/>
                <w:kern w:val="0"/>
                <w:szCs w:val="21"/>
              </w:rPr>
            </w:pPr>
            <w:r>
              <w:rPr>
                <w:rFonts w:ascii="仿宋_GB2312" w:hAnsi="Times New Roman" w:eastAsia="仿宋_GB2312"/>
                <w:b/>
                <w:bCs/>
                <w:color w:val="000000"/>
                <w:kern w:val="0"/>
                <w:szCs w:val="21"/>
                <w:lang w:eastAsia="en-US" w:bidi="en-US"/>
              </w:rPr>
              <w:t>20</w:t>
            </w:r>
            <w:r>
              <w:rPr>
                <w:rFonts w:hint="eastAsia" w:ascii="仿宋_GB2312" w:hAnsi="Times New Roman" w:eastAsia="仿宋_GB2312"/>
                <w:b/>
                <w:bCs/>
                <w:color w:val="000000"/>
                <w:kern w:val="0"/>
                <w:szCs w:val="21"/>
                <w:lang w:bidi="en-US"/>
              </w:rPr>
              <w:t>XX</w:t>
            </w:r>
            <w:r>
              <w:rPr>
                <w:rFonts w:hint="eastAsia" w:ascii="仿宋_GB2312" w:hAnsi="Times New Roman" w:eastAsia="仿宋_GB2312"/>
                <w:b/>
                <w:bCs/>
                <w:color w:val="000000"/>
                <w:kern w:val="0"/>
                <w:szCs w:val="21"/>
                <w:lang w:eastAsia="en-US" w:bidi="en-US"/>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总资产（亿元）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总负债（亿元）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全部债务（亿元）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所有者权益（亿元）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营业总收入（亿元）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净利润（亿元）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扣除非经常性损益后净利润（亿元）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szCs w:val="21"/>
              </w:rPr>
            </w:pPr>
            <w:r>
              <w:rPr>
                <w:rFonts w:hint="eastAsia" w:ascii="仿宋_GB2312" w:hAnsi="黑体" w:eastAsia="仿宋_GB2312"/>
                <w:szCs w:val="21"/>
              </w:rPr>
              <w:t>归属于母公司所有者的净利润</w:t>
            </w:r>
            <w:r>
              <w:rPr>
                <w:rFonts w:hint="eastAsia" w:ascii="仿宋_GB2312" w:hAnsi="黑体" w:eastAsia="仿宋_GB2312"/>
                <w:kern w:val="0"/>
                <w:szCs w:val="21"/>
              </w:rPr>
              <w:t>（亿元）</w:t>
            </w:r>
          </w:p>
        </w:tc>
        <w:tc>
          <w:tcPr>
            <w:tcW w:w="1140" w:type="dxa"/>
            <w:vAlign w:val="center"/>
          </w:tcPr>
          <w:p>
            <w:pPr>
              <w:widowControl/>
              <w:adjustRightInd w:val="0"/>
              <w:snapToGrid w:val="0"/>
              <w:rPr>
                <w:rFonts w:ascii="仿宋_GB2312" w:hAnsi="黑体" w:eastAsia="仿宋_GB2312"/>
                <w:szCs w:val="21"/>
              </w:rPr>
            </w:pPr>
          </w:p>
        </w:tc>
        <w:tc>
          <w:tcPr>
            <w:tcW w:w="1104" w:type="dxa"/>
            <w:vAlign w:val="center"/>
          </w:tcPr>
          <w:p>
            <w:pPr>
              <w:widowControl/>
              <w:adjustRightInd w:val="0"/>
              <w:snapToGrid w:val="0"/>
              <w:rPr>
                <w:rFonts w:ascii="仿宋_GB2312" w:hAnsi="黑体" w:eastAsia="仿宋_GB2312"/>
                <w:szCs w:val="21"/>
              </w:rPr>
            </w:pPr>
          </w:p>
        </w:tc>
        <w:tc>
          <w:tcPr>
            <w:tcW w:w="1127" w:type="dxa"/>
            <w:vAlign w:val="center"/>
          </w:tcPr>
          <w:p>
            <w:pPr>
              <w:widowControl/>
              <w:adjustRightInd w:val="0"/>
              <w:snapToGrid w:val="0"/>
              <w:rPr>
                <w:rFonts w:ascii="仿宋_GB2312" w:hAnsi="黑体" w:eastAsia="仿宋_GB2312"/>
                <w:szCs w:val="21"/>
              </w:rPr>
            </w:pPr>
          </w:p>
        </w:tc>
        <w:tc>
          <w:tcPr>
            <w:tcW w:w="1041" w:type="dxa"/>
            <w:vAlign w:val="center"/>
          </w:tcPr>
          <w:p>
            <w:pPr>
              <w:widowControl/>
              <w:adjustRightInd w:val="0"/>
              <w:snapToGrid w:val="0"/>
              <w:rPr>
                <w:rFonts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经营活动产生现金流量净额（亿元）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投资活动产生现金流量净额（亿元）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筹资活动产生现金流量净额（亿元）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速动比率</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资产负债率（</w:t>
            </w:r>
            <w:r>
              <w:rPr>
                <w:rFonts w:ascii="仿宋_GB2312" w:hAnsi="黑体" w:eastAsia="仿宋_GB2312"/>
                <w:kern w:val="0"/>
                <w:szCs w:val="21"/>
              </w:rPr>
              <w:t>%）</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营业毛利率（</w:t>
            </w:r>
            <w:r>
              <w:rPr>
                <w:rFonts w:ascii="仿宋_GB2312" w:hAnsi="黑体" w:eastAsia="仿宋_GB2312"/>
                <w:kern w:val="0"/>
                <w:szCs w:val="21"/>
              </w:rPr>
              <w:t>%）</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平均总资产回报率（</w:t>
            </w:r>
            <w:r>
              <w:rPr>
                <w:rFonts w:ascii="仿宋_GB2312" w:hAnsi="黑体" w:eastAsia="仿宋_GB2312"/>
                <w:kern w:val="0"/>
                <w:szCs w:val="21"/>
              </w:rPr>
              <w:t>%）</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加权平均净资产收益率（</w:t>
            </w:r>
            <w:r>
              <w:rPr>
                <w:rFonts w:ascii="仿宋_GB2312" w:hAnsi="黑体" w:eastAsia="仿宋_GB2312"/>
                <w:kern w:val="0"/>
                <w:szCs w:val="21"/>
              </w:rPr>
              <w:t>%）</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ascii="仿宋_GB2312" w:hAnsi="黑体" w:eastAsia="仿宋_GB2312"/>
                <w:kern w:val="0"/>
                <w:szCs w:val="21"/>
              </w:rPr>
              <w:t>EBITDA（亿元）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ascii="仿宋_GB2312" w:hAnsi="黑体" w:eastAsia="仿宋_GB2312"/>
                <w:kern w:val="0"/>
                <w:szCs w:val="21"/>
              </w:rPr>
              <w:t>EBITDA利息倍数</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应收账款周转率</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存货周转率</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bl>
    <w:p>
      <w:pPr>
        <w:spacing w:line="560" w:lineRule="exact"/>
        <w:ind w:firstLine="640" w:firstLineChars="200"/>
        <w:outlineLvl w:val="1"/>
        <w:rPr>
          <w:rFonts w:ascii="仿宋_GB2312" w:hAnsi="仿宋_GB2312" w:eastAsia="仿宋_GB2312"/>
          <w:sz w:val="32"/>
          <w:szCs w:val="32"/>
        </w:rPr>
      </w:pPr>
      <w:r>
        <w:rPr>
          <w:rFonts w:hint="eastAsia" w:ascii="仿宋_GB2312" w:hAnsi="仿宋_GB2312" w:eastAsia="仿宋_GB2312"/>
          <w:sz w:val="32"/>
          <w:szCs w:val="32"/>
        </w:rPr>
        <w:t>面向普通投资者公开发行公司债券的，应当按照《公司债券指引第</w:t>
      </w:r>
      <w:r>
        <w:rPr>
          <w:rFonts w:ascii="仿宋_GB2312" w:hAnsi="仿宋_GB2312" w:eastAsia="仿宋_GB2312"/>
          <w:sz w:val="32"/>
          <w:szCs w:val="32"/>
        </w:rPr>
        <w:t>1号》</w:t>
      </w:r>
      <w:r>
        <w:rPr>
          <w:rFonts w:hint="eastAsia" w:ascii="仿宋_GB2312" w:hAnsi="仿宋_GB2312" w:eastAsia="仿宋_GB2312"/>
          <w:sz w:val="32"/>
          <w:szCs w:val="32"/>
        </w:rPr>
        <w:t>要求，列示主要会计数据和财务指标。</w:t>
      </w:r>
    </w:p>
    <w:p>
      <w:pPr>
        <w:spacing w:line="560" w:lineRule="exact"/>
        <w:ind w:firstLine="642" w:firstLineChars="200"/>
        <w:outlineLvl w:val="1"/>
        <w:rPr>
          <w:rFonts w:ascii="仿宋_GB2312" w:hAnsi="仿宋_GB2312" w:eastAsia="仿宋_GB2312"/>
          <w:b/>
          <w:sz w:val="32"/>
          <w:szCs w:val="32"/>
        </w:rPr>
      </w:pPr>
      <w:r>
        <w:rPr>
          <w:rFonts w:hint="eastAsia" w:ascii="仿宋_GB2312" w:hAnsi="仿宋_GB2312" w:eastAsia="仿宋_GB2312"/>
          <w:b/>
          <w:sz w:val="32"/>
          <w:szCs w:val="32"/>
        </w:rPr>
        <w:t>（一）资产结构分析（合并口径）</w:t>
      </w:r>
    </w:p>
    <w:p>
      <w:pPr>
        <w:tabs>
          <w:tab w:val="left" w:pos="756"/>
        </w:tabs>
        <w:spacing w:line="560" w:lineRule="exact"/>
        <w:ind w:firstLine="640" w:firstLineChars="200"/>
        <w:textAlignment w:val="baseline"/>
        <w:rPr>
          <w:rFonts w:ascii="仿宋_GB2312" w:hAnsi="仿宋_GB2312" w:eastAsia="仿宋_GB2312"/>
          <w:sz w:val="32"/>
          <w:szCs w:val="32"/>
        </w:rPr>
      </w:pPr>
      <w:r>
        <w:rPr>
          <w:rFonts w:hint="eastAsia" w:ascii="仿宋_GB2312" w:hAnsi="仿宋_GB2312" w:eastAsia="仿宋_GB2312"/>
          <w:sz w:val="32"/>
          <w:szCs w:val="32"/>
        </w:rPr>
        <w:t>报告期各期末，发行人资产构成情况如下（表格</w:t>
      </w:r>
      <w:r>
        <w:rPr>
          <w:rFonts w:ascii="仿宋_GB2312" w:hAnsi="仿宋_GB2312" w:eastAsia="仿宋_GB2312"/>
          <w:sz w:val="32"/>
          <w:szCs w:val="32"/>
        </w:rPr>
        <w:t>可根据发行人实际情况调整）</w:t>
      </w:r>
      <w:r>
        <w:rPr>
          <w:rFonts w:hint="eastAsia" w:ascii="仿宋_GB2312" w:hAnsi="仿宋_GB2312" w:eastAsia="仿宋_GB2312"/>
          <w:sz w:val="32"/>
          <w:szCs w:val="32"/>
        </w:rPr>
        <w:t>：</w:t>
      </w:r>
    </w:p>
    <w:p>
      <w:pPr>
        <w:widowControl/>
        <w:adjustRightInd w:val="0"/>
        <w:jc w:val="right"/>
        <w:textAlignment w:val="baseline"/>
        <w:rPr>
          <w:rFonts w:ascii="仿宋_GB2312" w:eastAsia="仿宋_GB2312"/>
          <w:color w:val="000000"/>
          <w:kern w:val="0"/>
          <w:szCs w:val="21"/>
        </w:rPr>
      </w:pPr>
      <w:r>
        <w:rPr>
          <w:rFonts w:hint="eastAsia" w:ascii="仿宋_GB2312" w:eastAsia="仿宋_GB2312"/>
          <w:color w:val="000000"/>
          <w:kern w:val="0"/>
          <w:szCs w:val="21"/>
        </w:rPr>
        <w:t>单位：亿元、</w:t>
      </w:r>
      <w:r>
        <w:rPr>
          <w:rFonts w:ascii="仿宋_GB2312" w:eastAsia="仿宋_GB2312"/>
          <w:color w:val="000000"/>
          <w:kern w:val="0"/>
          <w:szCs w:val="21"/>
        </w:rPr>
        <w:t>%</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843"/>
        <w:gridCol w:w="607"/>
        <w:gridCol w:w="840"/>
        <w:gridCol w:w="838"/>
        <w:gridCol w:w="840"/>
        <w:gridCol w:w="838"/>
        <w:gridCol w:w="840"/>
        <w:gridCol w:w="838"/>
        <w:gridCol w:w="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Merge w:val="restart"/>
            <w:vAlign w:val="center"/>
          </w:tcPr>
          <w:p>
            <w:pPr>
              <w:jc w:val="center"/>
              <w:rPr>
                <w:rFonts w:ascii="仿宋_GB2312" w:eastAsia="仿宋_GB2312"/>
                <w:b/>
                <w:szCs w:val="21"/>
              </w:rPr>
            </w:pPr>
            <w:r>
              <w:rPr>
                <w:rFonts w:hint="eastAsia" w:ascii="仿宋_GB2312" w:eastAsia="仿宋_GB2312"/>
                <w:b/>
                <w:szCs w:val="21"/>
              </w:rPr>
              <w:t>项目</w:t>
            </w:r>
          </w:p>
        </w:tc>
        <w:tc>
          <w:tcPr>
            <w:tcW w:w="870" w:type="pct"/>
            <w:gridSpan w:val="2"/>
            <w:vAlign w:val="center"/>
          </w:tcPr>
          <w:p>
            <w:pPr>
              <w:widowControl/>
              <w:jc w:val="center"/>
              <w:rPr>
                <w:rFonts w:ascii="仿宋_GB2312" w:eastAsia="仿宋_GB2312"/>
                <w:b/>
                <w:bCs/>
                <w:color w:val="000000"/>
                <w:kern w:val="0"/>
                <w:szCs w:val="21"/>
              </w:rPr>
            </w:pPr>
            <w:r>
              <w:rPr>
                <w:rFonts w:ascii="仿宋_GB2312" w:hAnsi="Times New Roman" w:eastAsia="仿宋_GB2312"/>
                <w:b/>
                <w:color w:val="000000"/>
                <w:kern w:val="0"/>
                <w:szCs w:val="21"/>
                <w:lang w:eastAsia="en-US" w:bidi="en-US"/>
              </w:rPr>
              <w:t>20</w:t>
            </w:r>
            <w:r>
              <w:rPr>
                <w:rFonts w:hint="eastAsia" w:ascii="仿宋_GB2312" w:hAnsi="Times New Roman" w:eastAsia="仿宋_GB2312"/>
                <w:b/>
                <w:color w:val="000000"/>
                <w:kern w:val="0"/>
                <w:szCs w:val="21"/>
                <w:lang w:bidi="en-US"/>
              </w:rPr>
              <w:t>XX</w:t>
            </w:r>
            <w:r>
              <w:rPr>
                <w:rFonts w:hint="eastAsia" w:ascii="仿宋_GB2312" w:hAnsi="Times New Roman" w:eastAsia="仿宋_GB2312"/>
                <w:b/>
                <w:color w:val="000000"/>
                <w:kern w:val="0"/>
                <w:szCs w:val="21"/>
                <w:lang w:eastAsia="en-US" w:bidi="en-US"/>
              </w:rPr>
              <w:t>年</w:t>
            </w:r>
            <w:r>
              <w:rPr>
                <w:rFonts w:hint="eastAsia" w:ascii="仿宋_GB2312" w:hAnsi="Times New Roman" w:eastAsia="仿宋_GB2312"/>
                <w:b/>
                <w:color w:val="000000"/>
                <w:kern w:val="0"/>
                <w:szCs w:val="21"/>
                <w:lang w:bidi="en-US"/>
              </w:rPr>
              <w:t>X</w:t>
            </w:r>
            <w:r>
              <w:rPr>
                <w:rFonts w:hint="eastAsia" w:ascii="仿宋_GB2312" w:hAnsi="Times New Roman" w:eastAsia="仿宋_GB2312"/>
                <w:b/>
                <w:color w:val="000000"/>
                <w:kern w:val="0"/>
                <w:szCs w:val="21"/>
                <w:lang w:eastAsia="en-US" w:bidi="en-US"/>
              </w:rPr>
              <w:t>月</w:t>
            </w:r>
            <w:r>
              <w:rPr>
                <w:rFonts w:hint="eastAsia" w:ascii="仿宋_GB2312" w:hAnsi="Times New Roman" w:eastAsia="仿宋_GB2312"/>
                <w:b/>
                <w:color w:val="000000"/>
                <w:kern w:val="0"/>
                <w:szCs w:val="21"/>
                <w:lang w:bidi="en-US"/>
              </w:rPr>
              <w:t>末</w:t>
            </w:r>
          </w:p>
        </w:tc>
        <w:tc>
          <w:tcPr>
            <w:tcW w:w="1009" w:type="pct"/>
            <w:gridSpan w:val="2"/>
            <w:vAlign w:val="center"/>
          </w:tcPr>
          <w:p>
            <w:pPr>
              <w:widowControl/>
              <w:jc w:val="center"/>
              <w:rPr>
                <w:rFonts w:ascii="仿宋_GB2312" w:eastAsia="仿宋_GB2312"/>
                <w:b/>
                <w:bCs/>
                <w:color w:val="000000"/>
                <w:kern w:val="0"/>
                <w:szCs w:val="21"/>
              </w:rPr>
            </w:pPr>
            <w:r>
              <w:rPr>
                <w:rFonts w:ascii="仿宋_GB2312" w:hAnsi="Times New Roman" w:eastAsia="仿宋_GB2312"/>
                <w:b/>
                <w:color w:val="000000"/>
                <w:kern w:val="0"/>
                <w:szCs w:val="21"/>
                <w:lang w:eastAsia="en-US" w:bidi="en-US"/>
              </w:rPr>
              <w:t>20</w:t>
            </w:r>
            <w:r>
              <w:rPr>
                <w:rFonts w:hint="eastAsia" w:ascii="仿宋_GB2312" w:hAnsi="Times New Roman" w:eastAsia="仿宋_GB2312"/>
                <w:b/>
                <w:color w:val="000000"/>
                <w:kern w:val="0"/>
                <w:szCs w:val="21"/>
                <w:lang w:bidi="en-US"/>
              </w:rPr>
              <w:t>XX</w:t>
            </w:r>
            <w:r>
              <w:rPr>
                <w:rFonts w:hint="eastAsia" w:ascii="仿宋_GB2312" w:hAnsi="Times New Roman" w:eastAsia="仿宋_GB2312"/>
                <w:b/>
                <w:color w:val="000000"/>
                <w:kern w:val="0"/>
                <w:szCs w:val="21"/>
                <w:lang w:eastAsia="en-US" w:bidi="en-US"/>
              </w:rPr>
              <w:t>年</w:t>
            </w:r>
            <w:r>
              <w:rPr>
                <w:rFonts w:hint="eastAsia" w:ascii="仿宋_GB2312" w:hAnsi="Times New Roman" w:eastAsia="仿宋_GB2312"/>
                <w:b/>
                <w:color w:val="000000"/>
                <w:kern w:val="0"/>
                <w:szCs w:val="21"/>
                <w:lang w:bidi="en-US"/>
              </w:rPr>
              <w:t>末</w:t>
            </w:r>
          </w:p>
        </w:tc>
        <w:tc>
          <w:tcPr>
            <w:tcW w:w="1009" w:type="pct"/>
            <w:gridSpan w:val="2"/>
            <w:vAlign w:val="center"/>
          </w:tcPr>
          <w:p>
            <w:pPr>
              <w:widowControl/>
              <w:jc w:val="center"/>
              <w:rPr>
                <w:rFonts w:ascii="仿宋_GB2312" w:eastAsia="仿宋_GB2312"/>
                <w:b/>
                <w:bCs/>
                <w:color w:val="000000"/>
                <w:kern w:val="0"/>
                <w:szCs w:val="21"/>
              </w:rPr>
            </w:pPr>
            <w:r>
              <w:rPr>
                <w:rFonts w:ascii="仿宋_GB2312" w:hAnsi="Times New Roman" w:eastAsia="仿宋_GB2312"/>
                <w:b/>
                <w:color w:val="000000"/>
                <w:kern w:val="0"/>
                <w:szCs w:val="21"/>
                <w:lang w:eastAsia="en-US" w:bidi="en-US"/>
              </w:rPr>
              <w:t>20</w:t>
            </w:r>
            <w:r>
              <w:rPr>
                <w:rFonts w:hint="eastAsia" w:ascii="仿宋_GB2312" w:hAnsi="Times New Roman" w:eastAsia="仿宋_GB2312"/>
                <w:b/>
                <w:color w:val="000000"/>
                <w:kern w:val="0"/>
                <w:szCs w:val="21"/>
                <w:lang w:bidi="en-US"/>
              </w:rPr>
              <w:t>XX</w:t>
            </w:r>
            <w:r>
              <w:rPr>
                <w:rFonts w:hint="eastAsia" w:ascii="仿宋_GB2312" w:hAnsi="Times New Roman" w:eastAsia="仿宋_GB2312"/>
                <w:b/>
                <w:color w:val="000000"/>
                <w:kern w:val="0"/>
                <w:szCs w:val="21"/>
                <w:lang w:eastAsia="en-US" w:bidi="en-US"/>
              </w:rPr>
              <w:t>年</w:t>
            </w:r>
            <w:r>
              <w:rPr>
                <w:rFonts w:hint="eastAsia" w:ascii="仿宋_GB2312" w:hAnsi="Times New Roman" w:eastAsia="仿宋_GB2312"/>
                <w:b/>
                <w:color w:val="000000"/>
                <w:kern w:val="0"/>
                <w:szCs w:val="21"/>
                <w:lang w:bidi="en-US"/>
              </w:rPr>
              <w:t>末</w:t>
            </w:r>
          </w:p>
        </w:tc>
        <w:tc>
          <w:tcPr>
            <w:tcW w:w="1004" w:type="pct"/>
            <w:gridSpan w:val="2"/>
            <w:vAlign w:val="center"/>
          </w:tcPr>
          <w:p>
            <w:pPr>
              <w:widowControl/>
              <w:jc w:val="center"/>
              <w:rPr>
                <w:rFonts w:ascii="仿宋_GB2312" w:eastAsia="仿宋_GB2312"/>
                <w:b/>
                <w:bCs/>
                <w:color w:val="000000"/>
                <w:kern w:val="0"/>
                <w:szCs w:val="21"/>
              </w:rPr>
            </w:pPr>
            <w:r>
              <w:rPr>
                <w:rFonts w:ascii="仿宋_GB2312" w:hAnsi="Times New Roman" w:eastAsia="仿宋_GB2312"/>
                <w:b/>
                <w:color w:val="000000"/>
                <w:kern w:val="0"/>
                <w:szCs w:val="21"/>
                <w:lang w:eastAsia="en-US" w:bidi="en-US"/>
              </w:rPr>
              <w:t>20</w:t>
            </w:r>
            <w:r>
              <w:rPr>
                <w:rFonts w:hint="eastAsia" w:ascii="仿宋_GB2312" w:hAnsi="Times New Roman" w:eastAsia="仿宋_GB2312"/>
                <w:b/>
                <w:color w:val="000000"/>
                <w:kern w:val="0"/>
                <w:szCs w:val="21"/>
                <w:lang w:bidi="en-US"/>
              </w:rPr>
              <w:t>XX</w:t>
            </w:r>
            <w:r>
              <w:rPr>
                <w:rFonts w:hint="eastAsia" w:ascii="仿宋_GB2312" w:hAnsi="Times New Roman" w:eastAsia="仿宋_GB2312"/>
                <w:b/>
                <w:color w:val="000000"/>
                <w:kern w:val="0"/>
                <w:szCs w:val="21"/>
                <w:lang w:eastAsia="en-US" w:bidi="en-US"/>
              </w:rPr>
              <w:t>年</w:t>
            </w:r>
            <w:r>
              <w:rPr>
                <w:rFonts w:hint="eastAsia" w:ascii="仿宋_GB2312" w:hAnsi="Times New Roman" w:eastAsia="仿宋_GB2312"/>
                <w:b/>
                <w:color w:val="000000"/>
                <w:kern w:val="0"/>
                <w:szCs w:val="21"/>
                <w:lang w:bidi="en-US"/>
              </w:rPr>
              <w:t>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Merge w:val="continue"/>
            <w:vAlign w:val="center"/>
          </w:tcPr>
          <w:p>
            <w:pPr>
              <w:widowControl/>
              <w:rPr>
                <w:rFonts w:ascii="仿宋_GB2312" w:eastAsia="仿宋_GB2312"/>
                <w:b/>
                <w:szCs w:val="21"/>
              </w:rPr>
            </w:pPr>
          </w:p>
        </w:tc>
        <w:tc>
          <w:tcPr>
            <w:tcW w:w="365" w:type="pct"/>
            <w:vAlign w:val="center"/>
          </w:tcPr>
          <w:p>
            <w:pPr>
              <w:jc w:val="center"/>
              <w:rPr>
                <w:rFonts w:ascii="仿宋_GB2312" w:eastAsia="仿宋_GB2312"/>
                <w:b/>
                <w:szCs w:val="21"/>
              </w:rPr>
            </w:pPr>
            <w:r>
              <w:rPr>
                <w:rFonts w:hint="eastAsia" w:ascii="仿宋_GB2312" w:eastAsia="仿宋_GB2312"/>
                <w:b/>
                <w:szCs w:val="21"/>
              </w:rPr>
              <w:t>金额</w:t>
            </w:r>
          </w:p>
        </w:tc>
        <w:tc>
          <w:tcPr>
            <w:tcW w:w="505" w:type="pct"/>
            <w:vAlign w:val="center"/>
          </w:tcPr>
          <w:p>
            <w:pPr>
              <w:jc w:val="center"/>
              <w:rPr>
                <w:rFonts w:ascii="仿宋_GB2312" w:eastAsia="仿宋_GB2312"/>
                <w:b/>
                <w:szCs w:val="21"/>
              </w:rPr>
            </w:pPr>
            <w:r>
              <w:rPr>
                <w:rFonts w:hint="eastAsia" w:ascii="仿宋_GB2312" w:eastAsia="仿宋_GB2312"/>
                <w:b/>
                <w:szCs w:val="21"/>
              </w:rPr>
              <w:t>占比</w:t>
            </w:r>
          </w:p>
        </w:tc>
        <w:tc>
          <w:tcPr>
            <w:tcW w:w="504" w:type="pct"/>
            <w:vAlign w:val="center"/>
          </w:tcPr>
          <w:p>
            <w:pPr>
              <w:jc w:val="center"/>
              <w:rPr>
                <w:rFonts w:ascii="仿宋_GB2312" w:eastAsia="仿宋_GB2312"/>
                <w:b/>
                <w:szCs w:val="21"/>
              </w:rPr>
            </w:pPr>
            <w:r>
              <w:rPr>
                <w:rFonts w:hint="eastAsia" w:ascii="仿宋_GB2312" w:eastAsia="仿宋_GB2312"/>
                <w:b/>
                <w:szCs w:val="21"/>
              </w:rPr>
              <w:t>金额</w:t>
            </w:r>
          </w:p>
        </w:tc>
        <w:tc>
          <w:tcPr>
            <w:tcW w:w="505" w:type="pct"/>
            <w:vAlign w:val="center"/>
          </w:tcPr>
          <w:p>
            <w:pPr>
              <w:jc w:val="center"/>
              <w:rPr>
                <w:rFonts w:ascii="仿宋_GB2312" w:eastAsia="仿宋_GB2312"/>
                <w:b/>
                <w:szCs w:val="21"/>
              </w:rPr>
            </w:pPr>
            <w:r>
              <w:rPr>
                <w:rFonts w:hint="eastAsia" w:ascii="仿宋_GB2312" w:eastAsia="仿宋_GB2312"/>
                <w:b/>
                <w:szCs w:val="21"/>
              </w:rPr>
              <w:t>占比</w:t>
            </w:r>
          </w:p>
        </w:tc>
        <w:tc>
          <w:tcPr>
            <w:tcW w:w="504" w:type="pct"/>
            <w:vAlign w:val="center"/>
          </w:tcPr>
          <w:p>
            <w:pPr>
              <w:jc w:val="center"/>
              <w:rPr>
                <w:rFonts w:ascii="仿宋_GB2312" w:eastAsia="仿宋_GB2312"/>
                <w:b/>
                <w:szCs w:val="21"/>
              </w:rPr>
            </w:pPr>
            <w:r>
              <w:rPr>
                <w:rFonts w:hint="eastAsia" w:ascii="仿宋_GB2312" w:eastAsia="仿宋_GB2312"/>
                <w:b/>
                <w:szCs w:val="21"/>
              </w:rPr>
              <w:t>金额</w:t>
            </w:r>
          </w:p>
        </w:tc>
        <w:tc>
          <w:tcPr>
            <w:tcW w:w="505" w:type="pct"/>
            <w:vAlign w:val="center"/>
          </w:tcPr>
          <w:p>
            <w:pPr>
              <w:jc w:val="center"/>
              <w:rPr>
                <w:rFonts w:ascii="仿宋_GB2312" w:eastAsia="仿宋_GB2312"/>
                <w:b/>
                <w:szCs w:val="21"/>
              </w:rPr>
            </w:pPr>
            <w:r>
              <w:rPr>
                <w:rFonts w:hint="eastAsia" w:ascii="仿宋_GB2312" w:eastAsia="仿宋_GB2312"/>
                <w:b/>
                <w:szCs w:val="21"/>
              </w:rPr>
              <w:t>占比</w:t>
            </w:r>
          </w:p>
        </w:tc>
        <w:tc>
          <w:tcPr>
            <w:tcW w:w="504" w:type="pct"/>
            <w:vAlign w:val="center"/>
          </w:tcPr>
          <w:p>
            <w:pPr>
              <w:jc w:val="center"/>
              <w:rPr>
                <w:rFonts w:ascii="仿宋_GB2312" w:eastAsia="仿宋_GB2312"/>
                <w:b/>
                <w:szCs w:val="21"/>
              </w:rPr>
            </w:pPr>
            <w:r>
              <w:rPr>
                <w:rFonts w:hint="eastAsia" w:ascii="仿宋_GB2312" w:eastAsia="仿宋_GB2312"/>
                <w:b/>
                <w:szCs w:val="21"/>
              </w:rPr>
              <w:t>金额</w:t>
            </w:r>
          </w:p>
        </w:tc>
        <w:tc>
          <w:tcPr>
            <w:tcW w:w="500" w:type="pct"/>
            <w:vAlign w:val="center"/>
          </w:tcPr>
          <w:p>
            <w:pPr>
              <w:jc w:val="center"/>
              <w:rPr>
                <w:rFonts w:ascii="仿宋_GB2312" w:eastAsia="仿宋_GB2312"/>
                <w:b/>
                <w:szCs w:val="21"/>
              </w:rPr>
            </w:pPr>
            <w:r>
              <w:rPr>
                <w:rFonts w:hint="eastAsia" w:ascii="仿宋_GB2312" w:eastAsia="仿宋_GB2312"/>
                <w:b/>
                <w:szCs w:val="21"/>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货币资金</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应收账款</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预付款项</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其他应收款</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存货</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其他流动资产</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jc w:val="right"/>
              <w:rPr>
                <w:rFonts w:ascii="仿宋_GB2312" w:eastAsia="仿宋_GB2312"/>
                <w:b/>
                <w:szCs w:val="21"/>
              </w:rPr>
            </w:pPr>
            <w:r>
              <w:rPr>
                <w:rFonts w:hint="eastAsia" w:ascii="仿宋_GB2312" w:eastAsia="仿宋_GB2312"/>
                <w:b/>
                <w:szCs w:val="21"/>
              </w:rPr>
              <w:t>流动资产合计</w:t>
            </w:r>
          </w:p>
        </w:tc>
        <w:tc>
          <w:tcPr>
            <w:tcW w:w="365"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0" w:type="pct"/>
            <w:vAlign w:val="center"/>
          </w:tcPr>
          <w:p>
            <w:pPr>
              <w:jc w:val="right"/>
              <w:rPr>
                <w:rFonts w:ascii="仿宋_GB2312"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可供出售金融资产</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投资性房地产</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固定资产</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在建工程</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无形资产</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长期待摊费用</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递延所得税资产</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rPr>
                <w:rFonts w:ascii="仿宋_GB2312" w:eastAsia="仿宋_GB2312"/>
                <w:szCs w:val="21"/>
              </w:rPr>
            </w:pPr>
            <w:r>
              <w:rPr>
                <w:rFonts w:hint="eastAsia" w:ascii="仿宋_GB2312" w:eastAsia="仿宋_GB2312"/>
                <w:szCs w:val="21"/>
              </w:rPr>
              <w:t>其他非流动资产</w:t>
            </w:r>
          </w:p>
        </w:tc>
        <w:tc>
          <w:tcPr>
            <w:tcW w:w="365"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5" w:type="pct"/>
            <w:vAlign w:val="center"/>
          </w:tcPr>
          <w:p>
            <w:pPr>
              <w:jc w:val="right"/>
              <w:rPr>
                <w:rFonts w:ascii="仿宋_GB2312" w:eastAsia="仿宋_GB2312"/>
                <w:szCs w:val="21"/>
              </w:rPr>
            </w:pPr>
          </w:p>
        </w:tc>
        <w:tc>
          <w:tcPr>
            <w:tcW w:w="504" w:type="pct"/>
            <w:vAlign w:val="center"/>
          </w:tcPr>
          <w:p>
            <w:pPr>
              <w:jc w:val="right"/>
              <w:rPr>
                <w:rFonts w:ascii="仿宋_GB2312" w:eastAsia="仿宋_GB2312"/>
                <w:szCs w:val="21"/>
              </w:rPr>
            </w:pPr>
          </w:p>
        </w:tc>
        <w:tc>
          <w:tcPr>
            <w:tcW w:w="500" w:type="pct"/>
            <w:vAlign w:val="center"/>
          </w:tcPr>
          <w:p>
            <w:pPr>
              <w:jc w:val="right"/>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jc w:val="right"/>
              <w:rPr>
                <w:rFonts w:ascii="仿宋_GB2312" w:eastAsia="仿宋_GB2312"/>
                <w:b/>
                <w:szCs w:val="21"/>
              </w:rPr>
            </w:pPr>
            <w:r>
              <w:rPr>
                <w:rFonts w:hint="eastAsia" w:ascii="仿宋_GB2312" w:eastAsia="仿宋_GB2312"/>
                <w:b/>
                <w:szCs w:val="21"/>
              </w:rPr>
              <w:t>非流动资产合计</w:t>
            </w:r>
          </w:p>
        </w:tc>
        <w:tc>
          <w:tcPr>
            <w:tcW w:w="365"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0" w:type="pct"/>
            <w:vAlign w:val="center"/>
          </w:tcPr>
          <w:p>
            <w:pPr>
              <w:jc w:val="right"/>
              <w:rPr>
                <w:rFonts w:ascii="仿宋_GB2312"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1108" w:type="pct"/>
            <w:vAlign w:val="center"/>
          </w:tcPr>
          <w:p>
            <w:pPr>
              <w:jc w:val="right"/>
              <w:rPr>
                <w:rFonts w:ascii="仿宋_GB2312" w:eastAsia="仿宋_GB2312"/>
                <w:b/>
                <w:szCs w:val="21"/>
              </w:rPr>
            </w:pPr>
            <w:r>
              <w:rPr>
                <w:rFonts w:hint="eastAsia" w:ascii="仿宋_GB2312" w:eastAsia="仿宋_GB2312"/>
                <w:b/>
                <w:szCs w:val="21"/>
              </w:rPr>
              <w:t>资产合计</w:t>
            </w:r>
          </w:p>
        </w:tc>
        <w:tc>
          <w:tcPr>
            <w:tcW w:w="365"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5" w:type="pct"/>
            <w:vAlign w:val="center"/>
          </w:tcPr>
          <w:p>
            <w:pPr>
              <w:jc w:val="right"/>
              <w:rPr>
                <w:rFonts w:ascii="仿宋_GB2312" w:eastAsia="仿宋_GB2312"/>
                <w:b/>
                <w:szCs w:val="21"/>
              </w:rPr>
            </w:pPr>
          </w:p>
        </w:tc>
        <w:tc>
          <w:tcPr>
            <w:tcW w:w="504" w:type="pct"/>
            <w:vAlign w:val="center"/>
          </w:tcPr>
          <w:p>
            <w:pPr>
              <w:jc w:val="right"/>
              <w:rPr>
                <w:rFonts w:ascii="仿宋_GB2312" w:eastAsia="仿宋_GB2312"/>
                <w:b/>
                <w:szCs w:val="21"/>
              </w:rPr>
            </w:pPr>
          </w:p>
        </w:tc>
        <w:tc>
          <w:tcPr>
            <w:tcW w:w="500" w:type="pct"/>
            <w:vAlign w:val="center"/>
          </w:tcPr>
          <w:p>
            <w:pPr>
              <w:jc w:val="right"/>
              <w:rPr>
                <w:rFonts w:ascii="仿宋_GB2312" w:eastAsia="仿宋_GB2312"/>
                <w:b/>
                <w:szCs w:val="21"/>
              </w:rPr>
            </w:pPr>
          </w:p>
        </w:tc>
      </w:tr>
    </w:tbl>
    <w:p>
      <w:pPr>
        <w:tabs>
          <w:tab w:val="left" w:pos="0"/>
        </w:tabs>
        <w:spacing w:line="560" w:lineRule="exact"/>
        <w:ind w:firstLine="640" w:firstLineChars="200"/>
        <w:rPr>
          <w:rFonts w:ascii="仿宋_GB2312" w:hAnsi="微软雅黑" w:eastAsia="仿宋_GB2312"/>
          <w:sz w:val="32"/>
          <w:szCs w:val="32"/>
        </w:rPr>
      </w:pPr>
      <w:r>
        <w:rPr>
          <w:rFonts w:hint="eastAsia" w:ascii="仿宋_GB2312" w:hAnsi="仿宋_GB2312" w:eastAsia="仿宋_GB2312"/>
          <w:sz w:val="32"/>
          <w:szCs w:val="32"/>
        </w:rPr>
        <w:t>针对占比较高（一般为占最近一年末总资产比例</w:t>
      </w:r>
      <w:r>
        <w:rPr>
          <w:rFonts w:ascii="仿宋_GB2312" w:hAnsi="仿宋_GB2312" w:eastAsia="仿宋_GB2312"/>
          <w:sz w:val="32"/>
          <w:szCs w:val="32"/>
        </w:rPr>
        <w:t>10%</w:t>
      </w:r>
      <w:r>
        <w:rPr>
          <w:rFonts w:hint="eastAsia" w:ascii="仿宋_GB2312" w:hAnsi="仿宋_GB2312" w:eastAsia="仿宋_GB2312"/>
          <w:sz w:val="32"/>
          <w:szCs w:val="32"/>
        </w:rPr>
        <w:t>以上）、绝对金额较大或变动幅度较大（一般为变化幅度超过</w:t>
      </w:r>
      <w:r>
        <w:rPr>
          <w:rFonts w:ascii="仿宋_GB2312" w:hAnsi="仿宋_GB2312" w:eastAsia="仿宋_GB2312"/>
          <w:sz w:val="32"/>
          <w:szCs w:val="32"/>
        </w:rPr>
        <w:t>30%</w:t>
      </w:r>
      <w:r>
        <w:rPr>
          <w:rFonts w:hint="eastAsia" w:ascii="仿宋_GB2312" w:hAnsi="仿宋_GB2312" w:eastAsia="仿宋_GB2312"/>
          <w:sz w:val="32"/>
          <w:szCs w:val="32"/>
        </w:rPr>
        <w:t>）的资产科目进行简要分析说明。</w:t>
      </w:r>
      <w:r>
        <w:rPr>
          <w:rFonts w:hint="eastAsia" w:ascii="仿宋_GB2312" w:hAnsi="微软雅黑" w:eastAsia="仿宋_GB2312"/>
          <w:sz w:val="32"/>
          <w:szCs w:val="32"/>
        </w:rPr>
        <w:t>（要求</w:t>
      </w:r>
      <w:r>
        <w:rPr>
          <w:rFonts w:ascii="仿宋_GB2312" w:hAnsi="微软雅黑" w:eastAsia="仿宋_GB2312"/>
          <w:sz w:val="32"/>
          <w:szCs w:val="32"/>
        </w:rPr>
        <w:t>语言</w:t>
      </w:r>
      <w:r>
        <w:rPr>
          <w:rFonts w:hint="eastAsia" w:ascii="仿宋_GB2312" w:hAnsi="微软雅黑" w:eastAsia="仿宋_GB2312"/>
          <w:sz w:val="32"/>
          <w:szCs w:val="32"/>
        </w:rPr>
        <w:t>精简、概括、突出重点，</w:t>
      </w:r>
      <w:r>
        <w:rPr>
          <w:rFonts w:ascii="仿宋_GB2312" w:hAnsi="微软雅黑" w:eastAsia="仿宋_GB2312"/>
          <w:sz w:val="32"/>
          <w:szCs w:val="32"/>
        </w:rPr>
        <w:t>避免直接复制募集说明</w:t>
      </w:r>
      <w:r>
        <w:rPr>
          <w:rFonts w:hint="eastAsia" w:ascii="仿宋_GB2312" w:hAnsi="微软雅黑" w:eastAsia="仿宋_GB2312"/>
          <w:sz w:val="32"/>
          <w:szCs w:val="32"/>
        </w:rPr>
        <w:t>书</w:t>
      </w:r>
      <w:r>
        <w:rPr>
          <w:rFonts w:ascii="仿宋_GB2312" w:hAnsi="微软雅黑" w:eastAsia="仿宋_GB2312"/>
          <w:sz w:val="32"/>
          <w:szCs w:val="32"/>
        </w:rPr>
        <w:t>，</w:t>
      </w:r>
      <w:r>
        <w:rPr>
          <w:rFonts w:hint="eastAsia" w:ascii="仿宋_GB2312" w:hAnsi="微软雅黑" w:eastAsia="仿宋_GB2312"/>
          <w:sz w:val="32"/>
          <w:szCs w:val="32"/>
        </w:rPr>
        <w:t>无</w:t>
      </w:r>
      <w:r>
        <w:rPr>
          <w:rFonts w:ascii="仿宋_GB2312" w:hAnsi="微软雅黑" w:eastAsia="仿宋_GB2312"/>
          <w:sz w:val="32"/>
          <w:szCs w:val="32"/>
        </w:rPr>
        <w:t>特殊情况每个</w:t>
      </w:r>
      <w:r>
        <w:rPr>
          <w:rFonts w:hint="eastAsia" w:ascii="仿宋_GB2312" w:hAnsi="微软雅黑" w:eastAsia="仿宋_GB2312"/>
          <w:sz w:val="32"/>
          <w:szCs w:val="32"/>
        </w:rPr>
        <w:t>科目</w:t>
      </w:r>
      <w:r>
        <w:rPr>
          <w:rFonts w:ascii="仿宋_GB2312" w:hAnsi="微软雅黑" w:eastAsia="仿宋_GB2312"/>
          <w:sz w:val="32"/>
          <w:szCs w:val="32"/>
        </w:rPr>
        <w:t>不超过200字）</w:t>
      </w:r>
    </w:p>
    <w:p>
      <w:pPr>
        <w:tabs>
          <w:tab w:val="left" w:pos="0"/>
        </w:tabs>
        <w:spacing w:line="560" w:lineRule="exact"/>
        <w:ind w:firstLine="642" w:firstLineChars="200"/>
        <w:outlineLvl w:val="1"/>
        <w:rPr>
          <w:rFonts w:ascii="仿宋_GB2312" w:hAnsi="楷体_GB2312" w:eastAsia="仿宋_GB2312"/>
          <w:b/>
          <w:bCs/>
          <w:sz w:val="32"/>
          <w:szCs w:val="32"/>
        </w:rPr>
      </w:pPr>
      <w:r>
        <w:rPr>
          <w:rFonts w:hint="eastAsia" w:ascii="仿宋_GB2312" w:hAnsi="仿宋_GB2312" w:eastAsia="仿宋_GB2312"/>
          <w:b/>
          <w:sz w:val="32"/>
          <w:szCs w:val="32"/>
        </w:rPr>
        <w:t>（二）</w:t>
      </w:r>
      <w:r>
        <w:rPr>
          <w:rFonts w:ascii="仿宋_GB2312" w:hAnsi="楷体_GB2312" w:eastAsia="仿宋_GB2312"/>
          <w:b/>
          <w:bCs/>
          <w:sz w:val="32"/>
          <w:szCs w:val="32"/>
        </w:rPr>
        <w:t>负债</w:t>
      </w:r>
      <w:r>
        <w:rPr>
          <w:rFonts w:hint="eastAsia" w:ascii="仿宋_GB2312" w:hAnsi="楷体_GB2312" w:eastAsia="仿宋_GB2312"/>
          <w:b/>
          <w:bCs/>
          <w:sz w:val="32"/>
          <w:szCs w:val="32"/>
        </w:rPr>
        <w:t>及所有者权益</w:t>
      </w:r>
      <w:r>
        <w:rPr>
          <w:rFonts w:ascii="仿宋_GB2312" w:hAnsi="楷体_GB2312" w:eastAsia="仿宋_GB2312"/>
          <w:b/>
          <w:bCs/>
          <w:sz w:val="32"/>
          <w:szCs w:val="32"/>
        </w:rPr>
        <w:t>结构</w:t>
      </w:r>
      <w:r>
        <w:rPr>
          <w:rFonts w:hint="eastAsia" w:ascii="仿宋_GB2312" w:hAnsi="楷体_GB2312" w:eastAsia="仿宋_GB2312"/>
          <w:b/>
          <w:bCs/>
          <w:sz w:val="32"/>
          <w:szCs w:val="32"/>
        </w:rPr>
        <w:t>分析（合并口径）</w:t>
      </w:r>
    </w:p>
    <w:p>
      <w:pPr>
        <w:tabs>
          <w:tab w:val="left" w:pos="756"/>
        </w:tabs>
        <w:spacing w:line="560" w:lineRule="exact"/>
        <w:ind w:firstLine="640" w:firstLineChars="200"/>
        <w:textAlignment w:val="baseline"/>
        <w:rPr>
          <w:rFonts w:ascii="仿宋_GB2312" w:hAnsi="仿宋_GB2312" w:eastAsia="仿宋_GB2312"/>
          <w:sz w:val="32"/>
          <w:szCs w:val="32"/>
        </w:rPr>
      </w:pPr>
      <w:r>
        <w:rPr>
          <w:rFonts w:hint="eastAsia" w:ascii="仿宋_GB2312" w:hAnsi="仿宋_GB2312" w:eastAsia="仿宋_GB2312"/>
          <w:sz w:val="32"/>
          <w:szCs w:val="32"/>
        </w:rPr>
        <w:t>报告期各期末，发行人负债构成情况如下（表格</w:t>
      </w:r>
      <w:r>
        <w:rPr>
          <w:rFonts w:ascii="仿宋_GB2312" w:hAnsi="仿宋_GB2312" w:eastAsia="仿宋_GB2312"/>
          <w:sz w:val="32"/>
          <w:szCs w:val="32"/>
        </w:rPr>
        <w:t>可根据发行人实际情况调整）</w:t>
      </w:r>
      <w:r>
        <w:rPr>
          <w:rFonts w:hint="eastAsia" w:ascii="仿宋_GB2312" w:hAnsi="仿宋_GB2312" w:eastAsia="仿宋_GB2312"/>
          <w:sz w:val="32"/>
          <w:szCs w:val="32"/>
        </w:rPr>
        <w:t>：</w:t>
      </w:r>
    </w:p>
    <w:p>
      <w:pPr>
        <w:widowControl/>
        <w:adjustRightInd w:val="0"/>
        <w:jc w:val="right"/>
        <w:textAlignment w:val="baseline"/>
        <w:rPr>
          <w:rFonts w:ascii="仿宋_GB2312" w:eastAsia="仿宋_GB2312"/>
          <w:color w:val="000000"/>
          <w:kern w:val="0"/>
          <w:szCs w:val="21"/>
        </w:rPr>
      </w:pPr>
      <w:r>
        <w:rPr>
          <w:rFonts w:hint="eastAsia" w:ascii="仿宋_GB2312" w:eastAsia="仿宋_GB2312"/>
          <w:color w:val="000000"/>
          <w:kern w:val="0"/>
          <w:szCs w:val="21"/>
        </w:rPr>
        <w:t>单位：亿元、%</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859"/>
        <w:gridCol w:w="861"/>
        <w:gridCol w:w="861"/>
        <w:gridCol w:w="861"/>
        <w:gridCol w:w="859"/>
        <w:gridCol w:w="862"/>
        <w:gridCol w:w="859"/>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vMerge w:val="restart"/>
            <w:shd w:val="clear" w:color="auto" w:fill="auto"/>
            <w:noWrap/>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项目</w:t>
            </w:r>
          </w:p>
        </w:tc>
        <w:tc>
          <w:tcPr>
            <w:tcW w:w="1009" w:type="pct"/>
            <w:gridSpan w:val="2"/>
            <w:vAlign w:val="center"/>
          </w:tcPr>
          <w:p>
            <w:pPr>
              <w:widowControl/>
              <w:jc w:val="center"/>
              <w:rPr>
                <w:rFonts w:ascii="仿宋_GB2312" w:eastAsia="仿宋_GB2312"/>
                <w:b/>
                <w:bCs/>
                <w:color w:val="000000"/>
                <w:kern w:val="0"/>
                <w:szCs w:val="21"/>
              </w:rPr>
            </w:pPr>
            <w:r>
              <w:rPr>
                <w:rFonts w:ascii="仿宋_GB2312" w:hAnsi="Times New Roman" w:eastAsia="仿宋_GB2312"/>
                <w:b/>
                <w:color w:val="000000"/>
                <w:kern w:val="0"/>
                <w:szCs w:val="21"/>
                <w:lang w:eastAsia="en-US" w:bidi="en-US"/>
              </w:rPr>
              <w:t>20</w:t>
            </w:r>
            <w:r>
              <w:rPr>
                <w:rFonts w:hint="eastAsia" w:ascii="仿宋_GB2312" w:hAnsi="Times New Roman" w:eastAsia="仿宋_GB2312"/>
                <w:b/>
                <w:color w:val="000000"/>
                <w:kern w:val="0"/>
                <w:szCs w:val="21"/>
                <w:lang w:bidi="en-US"/>
              </w:rPr>
              <w:t>XX</w:t>
            </w:r>
            <w:r>
              <w:rPr>
                <w:rFonts w:hint="eastAsia" w:ascii="仿宋_GB2312" w:hAnsi="Times New Roman" w:eastAsia="仿宋_GB2312"/>
                <w:b/>
                <w:color w:val="000000"/>
                <w:kern w:val="0"/>
                <w:szCs w:val="21"/>
                <w:lang w:eastAsia="en-US" w:bidi="en-US"/>
              </w:rPr>
              <w:t>年</w:t>
            </w:r>
            <w:r>
              <w:rPr>
                <w:rFonts w:hint="eastAsia" w:ascii="仿宋_GB2312" w:hAnsi="Times New Roman" w:eastAsia="仿宋_GB2312"/>
                <w:b/>
                <w:color w:val="000000"/>
                <w:kern w:val="0"/>
                <w:szCs w:val="21"/>
                <w:lang w:bidi="en-US"/>
              </w:rPr>
              <w:t>X</w:t>
            </w:r>
            <w:r>
              <w:rPr>
                <w:rFonts w:hint="eastAsia" w:ascii="仿宋_GB2312" w:hAnsi="Times New Roman" w:eastAsia="仿宋_GB2312"/>
                <w:b/>
                <w:color w:val="000000"/>
                <w:kern w:val="0"/>
                <w:szCs w:val="21"/>
                <w:lang w:eastAsia="en-US" w:bidi="en-US"/>
              </w:rPr>
              <w:t>月</w:t>
            </w:r>
            <w:r>
              <w:rPr>
                <w:rFonts w:hint="eastAsia" w:ascii="仿宋_GB2312" w:hAnsi="Times New Roman" w:eastAsia="仿宋_GB2312"/>
                <w:b/>
                <w:color w:val="000000"/>
                <w:kern w:val="0"/>
                <w:szCs w:val="21"/>
                <w:lang w:bidi="en-US"/>
              </w:rPr>
              <w:t>末</w:t>
            </w:r>
          </w:p>
        </w:tc>
        <w:tc>
          <w:tcPr>
            <w:tcW w:w="1010" w:type="pct"/>
            <w:gridSpan w:val="2"/>
            <w:shd w:val="clear" w:color="auto" w:fill="auto"/>
            <w:vAlign w:val="center"/>
          </w:tcPr>
          <w:p>
            <w:pPr>
              <w:widowControl/>
              <w:jc w:val="center"/>
              <w:rPr>
                <w:rFonts w:ascii="仿宋_GB2312" w:eastAsia="仿宋_GB2312"/>
                <w:b/>
                <w:bCs/>
                <w:color w:val="000000"/>
                <w:kern w:val="0"/>
                <w:szCs w:val="21"/>
              </w:rPr>
            </w:pPr>
            <w:r>
              <w:rPr>
                <w:rFonts w:ascii="仿宋_GB2312" w:hAnsi="Times New Roman" w:eastAsia="仿宋_GB2312"/>
                <w:b/>
                <w:color w:val="000000"/>
                <w:kern w:val="0"/>
                <w:szCs w:val="21"/>
                <w:lang w:eastAsia="en-US" w:bidi="en-US"/>
              </w:rPr>
              <w:t>20</w:t>
            </w:r>
            <w:r>
              <w:rPr>
                <w:rFonts w:hint="eastAsia" w:ascii="仿宋_GB2312" w:hAnsi="Times New Roman" w:eastAsia="仿宋_GB2312"/>
                <w:b/>
                <w:color w:val="000000"/>
                <w:kern w:val="0"/>
                <w:szCs w:val="21"/>
                <w:lang w:bidi="en-US"/>
              </w:rPr>
              <w:t>XX</w:t>
            </w:r>
            <w:r>
              <w:rPr>
                <w:rFonts w:hint="eastAsia" w:ascii="仿宋_GB2312" w:hAnsi="Times New Roman" w:eastAsia="仿宋_GB2312"/>
                <w:b/>
                <w:color w:val="000000"/>
                <w:kern w:val="0"/>
                <w:szCs w:val="21"/>
                <w:lang w:eastAsia="en-US" w:bidi="en-US"/>
              </w:rPr>
              <w:t>年</w:t>
            </w:r>
            <w:r>
              <w:rPr>
                <w:rFonts w:hint="eastAsia" w:ascii="仿宋_GB2312" w:hAnsi="Times New Roman" w:eastAsia="仿宋_GB2312"/>
                <w:b/>
                <w:color w:val="000000"/>
                <w:kern w:val="0"/>
                <w:szCs w:val="21"/>
                <w:lang w:bidi="en-US"/>
              </w:rPr>
              <w:t>末</w:t>
            </w:r>
          </w:p>
        </w:tc>
        <w:tc>
          <w:tcPr>
            <w:tcW w:w="1010" w:type="pct"/>
            <w:gridSpan w:val="2"/>
            <w:shd w:val="clear" w:color="auto" w:fill="auto"/>
            <w:vAlign w:val="center"/>
          </w:tcPr>
          <w:p>
            <w:pPr>
              <w:widowControl/>
              <w:jc w:val="center"/>
              <w:rPr>
                <w:rFonts w:ascii="仿宋_GB2312" w:eastAsia="仿宋_GB2312"/>
                <w:b/>
                <w:bCs/>
                <w:color w:val="000000"/>
                <w:kern w:val="0"/>
                <w:szCs w:val="21"/>
              </w:rPr>
            </w:pPr>
            <w:r>
              <w:rPr>
                <w:rFonts w:ascii="仿宋_GB2312" w:hAnsi="Times New Roman" w:eastAsia="仿宋_GB2312"/>
                <w:b/>
                <w:color w:val="000000"/>
                <w:kern w:val="0"/>
                <w:szCs w:val="21"/>
                <w:lang w:eastAsia="en-US" w:bidi="en-US"/>
              </w:rPr>
              <w:t>20</w:t>
            </w:r>
            <w:r>
              <w:rPr>
                <w:rFonts w:hint="eastAsia" w:ascii="仿宋_GB2312" w:hAnsi="Times New Roman" w:eastAsia="仿宋_GB2312"/>
                <w:b/>
                <w:color w:val="000000"/>
                <w:kern w:val="0"/>
                <w:szCs w:val="21"/>
                <w:lang w:bidi="en-US"/>
              </w:rPr>
              <w:t>XX</w:t>
            </w:r>
            <w:r>
              <w:rPr>
                <w:rFonts w:hint="eastAsia" w:ascii="仿宋_GB2312" w:hAnsi="Times New Roman" w:eastAsia="仿宋_GB2312"/>
                <w:b/>
                <w:color w:val="000000"/>
                <w:kern w:val="0"/>
                <w:szCs w:val="21"/>
                <w:lang w:eastAsia="en-US" w:bidi="en-US"/>
              </w:rPr>
              <w:t>年</w:t>
            </w:r>
            <w:r>
              <w:rPr>
                <w:rFonts w:hint="eastAsia" w:ascii="仿宋_GB2312" w:hAnsi="Times New Roman" w:eastAsia="仿宋_GB2312"/>
                <w:b/>
                <w:color w:val="000000"/>
                <w:kern w:val="0"/>
                <w:szCs w:val="21"/>
                <w:lang w:bidi="en-US"/>
              </w:rPr>
              <w:t>末</w:t>
            </w:r>
          </w:p>
        </w:tc>
        <w:tc>
          <w:tcPr>
            <w:tcW w:w="1009" w:type="pct"/>
            <w:gridSpan w:val="2"/>
            <w:shd w:val="clear" w:color="auto" w:fill="auto"/>
            <w:vAlign w:val="center"/>
          </w:tcPr>
          <w:p>
            <w:pPr>
              <w:widowControl/>
              <w:jc w:val="center"/>
              <w:rPr>
                <w:rFonts w:ascii="仿宋_GB2312" w:eastAsia="仿宋_GB2312"/>
                <w:b/>
                <w:bCs/>
                <w:color w:val="000000"/>
                <w:kern w:val="0"/>
                <w:szCs w:val="21"/>
              </w:rPr>
            </w:pPr>
            <w:r>
              <w:rPr>
                <w:rFonts w:ascii="仿宋_GB2312" w:hAnsi="Times New Roman" w:eastAsia="仿宋_GB2312"/>
                <w:b/>
                <w:color w:val="000000"/>
                <w:kern w:val="0"/>
                <w:szCs w:val="21"/>
                <w:lang w:eastAsia="en-US" w:bidi="en-US"/>
              </w:rPr>
              <w:t>20</w:t>
            </w:r>
            <w:r>
              <w:rPr>
                <w:rFonts w:hint="eastAsia" w:ascii="仿宋_GB2312" w:hAnsi="Times New Roman" w:eastAsia="仿宋_GB2312"/>
                <w:b/>
                <w:color w:val="000000"/>
                <w:kern w:val="0"/>
                <w:szCs w:val="21"/>
                <w:lang w:bidi="en-US"/>
              </w:rPr>
              <w:t>XX</w:t>
            </w:r>
            <w:r>
              <w:rPr>
                <w:rFonts w:hint="eastAsia" w:ascii="仿宋_GB2312" w:hAnsi="Times New Roman" w:eastAsia="仿宋_GB2312"/>
                <w:b/>
                <w:color w:val="000000"/>
                <w:kern w:val="0"/>
                <w:szCs w:val="21"/>
                <w:lang w:eastAsia="en-US" w:bidi="en-US"/>
              </w:rPr>
              <w:t>年</w:t>
            </w:r>
            <w:r>
              <w:rPr>
                <w:rFonts w:hint="eastAsia" w:ascii="仿宋_GB2312" w:hAnsi="Times New Roman" w:eastAsia="仿宋_GB2312"/>
                <w:b/>
                <w:color w:val="000000"/>
                <w:kern w:val="0"/>
                <w:szCs w:val="21"/>
                <w:lang w:bidi="en-US"/>
              </w:rPr>
              <w:t>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vMerge w:val="continue"/>
            <w:vAlign w:val="center"/>
          </w:tcPr>
          <w:p>
            <w:pPr>
              <w:widowControl/>
              <w:jc w:val="left"/>
              <w:rPr>
                <w:rFonts w:ascii="仿宋_GB2312" w:hAnsi="宋体" w:eastAsia="仿宋_GB2312" w:cs="宋体"/>
                <w:b/>
                <w:bCs/>
                <w:color w:val="000000"/>
                <w:kern w:val="0"/>
              </w:rPr>
            </w:pPr>
          </w:p>
        </w:tc>
        <w:tc>
          <w:tcPr>
            <w:tcW w:w="504" w:type="pct"/>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金额</w:t>
            </w:r>
          </w:p>
        </w:tc>
        <w:tc>
          <w:tcPr>
            <w:tcW w:w="505" w:type="pct"/>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占比</w:t>
            </w:r>
          </w:p>
        </w:tc>
        <w:tc>
          <w:tcPr>
            <w:tcW w:w="505" w:type="pct"/>
            <w:shd w:val="clear" w:color="auto" w:fill="auto"/>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金额</w:t>
            </w:r>
          </w:p>
        </w:tc>
        <w:tc>
          <w:tcPr>
            <w:tcW w:w="505" w:type="pct"/>
            <w:shd w:val="clear" w:color="auto" w:fill="auto"/>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占比</w:t>
            </w:r>
          </w:p>
        </w:tc>
        <w:tc>
          <w:tcPr>
            <w:tcW w:w="504" w:type="pct"/>
            <w:shd w:val="clear" w:color="auto" w:fill="auto"/>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金额</w:t>
            </w:r>
          </w:p>
        </w:tc>
        <w:tc>
          <w:tcPr>
            <w:tcW w:w="506" w:type="pct"/>
            <w:shd w:val="clear" w:color="auto" w:fill="auto"/>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占比</w:t>
            </w:r>
          </w:p>
        </w:tc>
        <w:tc>
          <w:tcPr>
            <w:tcW w:w="504" w:type="pct"/>
            <w:shd w:val="clear" w:color="auto" w:fill="auto"/>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金额</w:t>
            </w:r>
          </w:p>
        </w:tc>
        <w:tc>
          <w:tcPr>
            <w:tcW w:w="505" w:type="pct"/>
            <w:shd w:val="clear" w:color="auto" w:fill="auto"/>
            <w:vAlign w:val="center"/>
          </w:tcPr>
          <w:p>
            <w:pPr>
              <w:widowControl/>
              <w:jc w:val="center"/>
              <w:rPr>
                <w:rFonts w:ascii="仿宋_GB2312" w:hAnsi="宋体" w:eastAsia="仿宋_GB2312" w:cs="宋体"/>
                <w:b/>
                <w:bCs/>
                <w:color w:val="000000"/>
                <w:kern w:val="0"/>
              </w:rPr>
            </w:pPr>
            <w:r>
              <w:rPr>
                <w:rFonts w:hint="eastAsia" w:ascii="仿宋_GB2312" w:hAnsi="宋体" w:eastAsia="仿宋_GB2312" w:cs="宋体"/>
                <w:b/>
                <w:bCs/>
                <w:color w:val="000000"/>
                <w:kern w:val="0"/>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短期借款</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应付账款</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预收款项</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应付利息</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应付股利</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其他应付款</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一年内到期的非流动负债</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right"/>
              <w:rPr>
                <w:rFonts w:ascii="仿宋_GB2312" w:hAnsi="宋体" w:eastAsia="仿宋_GB2312" w:cs="宋体"/>
                <w:b/>
                <w:bCs/>
                <w:color w:val="000000"/>
                <w:kern w:val="0"/>
              </w:rPr>
            </w:pPr>
            <w:r>
              <w:rPr>
                <w:rFonts w:hint="eastAsia" w:ascii="仿宋_GB2312" w:hAnsi="宋体" w:eastAsia="仿宋_GB2312" w:cs="宋体"/>
                <w:b/>
                <w:bCs/>
                <w:color w:val="000000"/>
                <w:kern w:val="0"/>
              </w:rPr>
              <w:t>流动负债合计</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长期借款</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专项应付款</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递延收益</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left"/>
              <w:rPr>
                <w:rFonts w:ascii="仿宋_GB2312" w:hAnsi="宋体" w:eastAsia="仿宋_GB2312" w:cs="宋体"/>
                <w:color w:val="000000"/>
                <w:kern w:val="0"/>
              </w:rPr>
            </w:pPr>
            <w:r>
              <w:rPr>
                <w:rFonts w:hint="eastAsia" w:ascii="仿宋_GB2312" w:hAnsi="宋体" w:eastAsia="仿宋_GB2312" w:cs="宋体"/>
                <w:color w:val="000000"/>
                <w:kern w:val="0"/>
              </w:rPr>
              <w:t>递延所得税负债</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noWrap/>
            <w:vAlign w:val="center"/>
          </w:tcPr>
          <w:p>
            <w:pPr>
              <w:widowControl/>
              <w:jc w:val="right"/>
              <w:rPr>
                <w:rFonts w:ascii="仿宋_GB2312" w:hAnsi="宋体" w:eastAsia="仿宋_GB2312" w:cs="宋体"/>
                <w:b/>
                <w:bCs/>
                <w:color w:val="000000"/>
                <w:kern w:val="0"/>
              </w:rPr>
            </w:pPr>
            <w:r>
              <w:rPr>
                <w:rFonts w:hint="eastAsia" w:ascii="仿宋_GB2312" w:hAnsi="宋体" w:eastAsia="仿宋_GB2312" w:cs="宋体"/>
                <w:b/>
                <w:bCs/>
                <w:color w:val="000000"/>
                <w:kern w:val="0"/>
              </w:rPr>
              <w:t>非流动负债合计</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6" w:type="pct"/>
            <w:shd w:val="clear" w:color="auto" w:fill="auto"/>
            <w:vAlign w:val="center"/>
          </w:tcPr>
          <w:p>
            <w:pPr>
              <w:widowControl/>
              <w:jc w:val="right"/>
              <w:rPr>
                <w:rFonts w:ascii="仿宋_GB2312" w:eastAsia="仿宋_GB2312"/>
                <w:color w:val="000000"/>
                <w:kern w:val="0"/>
              </w:rPr>
            </w:pPr>
          </w:p>
        </w:tc>
        <w:tc>
          <w:tcPr>
            <w:tcW w:w="504"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2" w:type="pct"/>
            <w:shd w:val="clear" w:color="auto" w:fill="auto"/>
            <w:vAlign w:val="center"/>
          </w:tcPr>
          <w:p>
            <w:pPr>
              <w:widowControl/>
              <w:jc w:val="right"/>
              <w:rPr>
                <w:rFonts w:ascii="仿宋_GB2312" w:hAnsi="宋体" w:eastAsia="仿宋_GB2312" w:cs="宋体"/>
                <w:b/>
                <w:bCs/>
                <w:color w:val="000000"/>
                <w:kern w:val="0"/>
              </w:rPr>
            </w:pPr>
            <w:r>
              <w:rPr>
                <w:rFonts w:hint="eastAsia" w:ascii="仿宋_GB2312" w:hAnsi="宋体" w:eastAsia="仿宋_GB2312" w:cs="宋体"/>
                <w:b/>
                <w:bCs/>
                <w:color w:val="000000"/>
                <w:kern w:val="0"/>
              </w:rPr>
              <w:t>负债总计</w:t>
            </w:r>
          </w:p>
        </w:tc>
        <w:tc>
          <w:tcPr>
            <w:tcW w:w="504" w:type="pct"/>
            <w:vAlign w:val="center"/>
          </w:tcPr>
          <w:p>
            <w:pPr>
              <w:widowControl/>
              <w:jc w:val="right"/>
              <w:rPr>
                <w:rFonts w:ascii="仿宋_GB2312" w:eastAsia="仿宋_GB2312"/>
                <w:color w:val="000000"/>
                <w:kern w:val="0"/>
              </w:rPr>
            </w:pPr>
          </w:p>
        </w:tc>
        <w:tc>
          <w:tcPr>
            <w:tcW w:w="505" w:type="pct"/>
            <w:vAlign w:val="center"/>
          </w:tcPr>
          <w:p>
            <w:pPr>
              <w:widowControl/>
              <w:jc w:val="right"/>
              <w:rPr>
                <w:rFonts w:ascii="仿宋_GB2312" w:eastAsia="仿宋_GB2312"/>
                <w:b/>
                <w:color w:val="000000"/>
                <w:kern w:val="0"/>
              </w:rPr>
            </w:pPr>
          </w:p>
        </w:tc>
        <w:tc>
          <w:tcPr>
            <w:tcW w:w="505" w:type="pct"/>
            <w:shd w:val="clear" w:color="auto" w:fill="auto"/>
            <w:vAlign w:val="center"/>
          </w:tcPr>
          <w:p>
            <w:pPr>
              <w:widowControl/>
              <w:jc w:val="right"/>
              <w:rPr>
                <w:rFonts w:ascii="仿宋_GB2312" w:eastAsia="仿宋_GB2312"/>
                <w:color w:val="000000"/>
                <w:kern w:val="0"/>
              </w:rPr>
            </w:pPr>
          </w:p>
        </w:tc>
        <w:tc>
          <w:tcPr>
            <w:tcW w:w="505" w:type="pct"/>
            <w:shd w:val="clear" w:color="auto" w:fill="auto"/>
            <w:vAlign w:val="center"/>
          </w:tcPr>
          <w:p>
            <w:pPr>
              <w:widowControl/>
              <w:jc w:val="right"/>
              <w:rPr>
                <w:rFonts w:ascii="仿宋_GB2312" w:hAnsi="宋体" w:eastAsia="仿宋_GB2312" w:cs="宋体"/>
                <w:b/>
                <w:bCs/>
                <w:color w:val="000000"/>
                <w:kern w:val="0"/>
              </w:rPr>
            </w:pPr>
          </w:p>
        </w:tc>
        <w:tc>
          <w:tcPr>
            <w:tcW w:w="504" w:type="pct"/>
            <w:shd w:val="clear" w:color="auto" w:fill="auto"/>
            <w:vAlign w:val="center"/>
          </w:tcPr>
          <w:p>
            <w:pPr>
              <w:widowControl/>
              <w:jc w:val="right"/>
              <w:rPr>
                <w:rFonts w:ascii="仿宋_GB2312" w:hAnsi="宋体" w:eastAsia="仿宋_GB2312" w:cs="宋体"/>
                <w:b/>
                <w:bCs/>
                <w:color w:val="000000"/>
                <w:kern w:val="0"/>
              </w:rPr>
            </w:pPr>
          </w:p>
        </w:tc>
        <w:tc>
          <w:tcPr>
            <w:tcW w:w="506" w:type="pct"/>
            <w:shd w:val="clear" w:color="auto" w:fill="auto"/>
            <w:vAlign w:val="center"/>
          </w:tcPr>
          <w:p>
            <w:pPr>
              <w:widowControl/>
              <w:jc w:val="right"/>
              <w:rPr>
                <w:rFonts w:ascii="仿宋_GB2312" w:hAnsi="宋体" w:eastAsia="仿宋_GB2312" w:cs="宋体"/>
                <w:b/>
                <w:bCs/>
                <w:color w:val="000000"/>
                <w:kern w:val="0"/>
              </w:rPr>
            </w:pPr>
          </w:p>
        </w:tc>
        <w:tc>
          <w:tcPr>
            <w:tcW w:w="504" w:type="pct"/>
            <w:shd w:val="clear" w:color="auto" w:fill="auto"/>
            <w:vAlign w:val="center"/>
          </w:tcPr>
          <w:p>
            <w:pPr>
              <w:widowControl/>
              <w:jc w:val="right"/>
              <w:rPr>
                <w:rFonts w:ascii="仿宋_GB2312" w:hAnsi="宋体" w:eastAsia="仿宋_GB2312" w:cs="宋体"/>
                <w:b/>
                <w:bCs/>
                <w:color w:val="000000"/>
                <w:kern w:val="0"/>
              </w:rPr>
            </w:pPr>
          </w:p>
        </w:tc>
        <w:tc>
          <w:tcPr>
            <w:tcW w:w="505" w:type="pct"/>
            <w:shd w:val="clear" w:color="auto" w:fill="auto"/>
            <w:vAlign w:val="center"/>
          </w:tcPr>
          <w:p>
            <w:pPr>
              <w:widowControl/>
              <w:jc w:val="right"/>
              <w:rPr>
                <w:rFonts w:ascii="仿宋_GB2312" w:hAnsi="宋体" w:eastAsia="仿宋_GB2312" w:cs="宋体"/>
                <w:b/>
                <w:bCs/>
                <w:color w:val="000000"/>
                <w:kern w:val="0"/>
              </w:rPr>
            </w:pPr>
          </w:p>
        </w:tc>
      </w:tr>
    </w:tbl>
    <w:p>
      <w:pPr>
        <w:autoSpaceDE w:val="0"/>
        <w:autoSpaceDN w:val="0"/>
        <w:adjustRightInd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1.</w:t>
      </w:r>
      <w:r>
        <w:rPr>
          <w:rFonts w:hint="eastAsia" w:ascii="仿宋_GB2312" w:hAnsi="仿宋_GB2312" w:eastAsia="仿宋_GB2312"/>
          <w:sz w:val="32"/>
          <w:szCs w:val="32"/>
        </w:rPr>
        <w:t>针对占比较高（一般为占最近一年末总资产比例</w:t>
      </w:r>
      <w:r>
        <w:rPr>
          <w:rFonts w:ascii="仿宋_GB2312" w:hAnsi="仿宋_GB2312" w:eastAsia="仿宋_GB2312"/>
          <w:sz w:val="32"/>
          <w:szCs w:val="32"/>
        </w:rPr>
        <w:t>10%以上）、绝对金额较大或变动幅度较大（一般为变化幅度超过30%）的负债科目进行简要分析说明。</w:t>
      </w:r>
      <w:r>
        <w:rPr>
          <w:rFonts w:hint="eastAsia" w:ascii="仿宋_GB2312" w:hAnsi="微软雅黑" w:eastAsia="仿宋_GB2312"/>
          <w:sz w:val="32"/>
          <w:szCs w:val="32"/>
        </w:rPr>
        <w:t>（要求</w:t>
      </w:r>
      <w:r>
        <w:rPr>
          <w:rFonts w:ascii="仿宋_GB2312" w:hAnsi="微软雅黑" w:eastAsia="仿宋_GB2312"/>
          <w:sz w:val="32"/>
          <w:szCs w:val="32"/>
        </w:rPr>
        <w:t>语言</w:t>
      </w:r>
      <w:r>
        <w:rPr>
          <w:rFonts w:hint="eastAsia" w:ascii="仿宋_GB2312" w:hAnsi="微软雅黑" w:eastAsia="仿宋_GB2312"/>
          <w:sz w:val="32"/>
          <w:szCs w:val="32"/>
        </w:rPr>
        <w:t>精简、概括、突出重点，</w:t>
      </w:r>
      <w:r>
        <w:rPr>
          <w:rFonts w:ascii="仿宋_GB2312" w:hAnsi="微软雅黑" w:eastAsia="仿宋_GB2312"/>
          <w:sz w:val="32"/>
          <w:szCs w:val="32"/>
        </w:rPr>
        <w:t>避免直接复制募集说明</w:t>
      </w:r>
      <w:r>
        <w:rPr>
          <w:rFonts w:hint="eastAsia" w:ascii="仿宋_GB2312" w:hAnsi="微软雅黑" w:eastAsia="仿宋_GB2312"/>
          <w:sz w:val="32"/>
          <w:szCs w:val="32"/>
        </w:rPr>
        <w:t>书</w:t>
      </w:r>
      <w:r>
        <w:rPr>
          <w:rFonts w:ascii="仿宋_GB2312" w:hAnsi="微软雅黑" w:eastAsia="仿宋_GB2312"/>
          <w:sz w:val="32"/>
          <w:szCs w:val="32"/>
        </w:rPr>
        <w:t>，</w:t>
      </w:r>
      <w:r>
        <w:rPr>
          <w:rFonts w:hint="eastAsia" w:ascii="仿宋_GB2312" w:hAnsi="微软雅黑" w:eastAsia="仿宋_GB2312"/>
          <w:sz w:val="32"/>
          <w:szCs w:val="32"/>
        </w:rPr>
        <w:t>无</w:t>
      </w:r>
      <w:r>
        <w:rPr>
          <w:rFonts w:ascii="仿宋_GB2312" w:hAnsi="微软雅黑" w:eastAsia="仿宋_GB2312"/>
          <w:sz w:val="32"/>
          <w:szCs w:val="32"/>
        </w:rPr>
        <w:t>特殊情况每个</w:t>
      </w:r>
      <w:r>
        <w:rPr>
          <w:rFonts w:hint="eastAsia" w:ascii="仿宋_GB2312" w:hAnsi="微软雅黑" w:eastAsia="仿宋_GB2312"/>
          <w:sz w:val="32"/>
          <w:szCs w:val="32"/>
        </w:rPr>
        <w:t>科目</w:t>
      </w:r>
      <w:r>
        <w:rPr>
          <w:rFonts w:ascii="仿宋_GB2312" w:hAnsi="微软雅黑" w:eastAsia="仿宋_GB2312"/>
          <w:sz w:val="32"/>
          <w:szCs w:val="32"/>
        </w:rPr>
        <w:t>不超过200字）</w:t>
      </w:r>
    </w:p>
    <w:p>
      <w:pPr>
        <w:autoSpaceDE w:val="0"/>
        <w:autoSpaceDN w:val="0"/>
        <w:adjustRightInd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2.有息负债情况：</w:t>
      </w:r>
    </w:p>
    <w:p>
      <w:pPr>
        <w:autoSpaceDE w:val="0"/>
        <w:autoSpaceDN w:val="0"/>
        <w:adjustRightInd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w:t>
      </w:r>
      <w:r>
        <w:rPr>
          <w:rFonts w:ascii="仿宋_GB2312" w:hAnsi="仿宋_GB2312" w:eastAsia="仿宋_GB2312"/>
          <w:sz w:val="32"/>
          <w:szCs w:val="32"/>
        </w:rPr>
        <w:t>1）文字简述发行人报告期末有息负债规模及其在负债总额中所占比重，并说明一年内到期的有息负债金额及其</w:t>
      </w:r>
      <w:r>
        <w:rPr>
          <w:rFonts w:hint="eastAsia" w:ascii="仿宋_GB2312" w:hAnsi="仿宋_GB2312" w:eastAsia="仿宋_GB2312"/>
          <w:sz w:val="32"/>
          <w:szCs w:val="32"/>
        </w:rPr>
        <w:t>占有息负债总额的比重。</w:t>
      </w:r>
    </w:p>
    <w:p>
      <w:pPr>
        <w:autoSpaceDE w:val="0"/>
        <w:autoSpaceDN w:val="0"/>
        <w:adjustRightInd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w:t>
      </w:r>
      <w:r>
        <w:rPr>
          <w:rFonts w:ascii="仿宋_GB2312" w:hAnsi="仿宋_GB2312" w:eastAsia="仿宋_GB2312"/>
          <w:sz w:val="32"/>
          <w:szCs w:val="32"/>
        </w:rPr>
        <w:t>2）文字</w:t>
      </w:r>
      <w:r>
        <w:rPr>
          <w:rFonts w:hint="eastAsia" w:ascii="仿宋_GB2312" w:hAnsi="仿宋_GB2312" w:eastAsia="仿宋_GB2312"/>
          <w:sz w:val="32"/>
          <w:szCs w:val="32"/>
        </w:rPr>
        <w:t>简述</w:t>
      </w:r>
      <w:r>
        <w:rPr>
          <w:rFonts w:ascii="仿宋_GB2312" w:hAnsi="仿宋_GB2312" w:eastAsia="仿宋_GB2312"/>
          <w:sz w:val="32"/>
          <w:szCs w:val="32"/>
        </w:rPr>
        <w:t>报告期末有息负债中银行借款</w:t>
      </w:r>
      <w:r>
        <w:rPr>
          <w:rFonts w:hint="eastAsia" w:ascii="仿宋_GB2312" w:hAnsi="仿宋_GB2312" w:eastAsia="仿宋_GB2312"/>
          <w:sz w:val="32"/>
          <w:szCs w:val="32"/>
        </w:rPr>
        <w:t>所占</w:t>
      </w:r>
      <w:r>
        <w:rPr>
          <w:rFonts w:ascii="仿宋_GB2312" w:hAnsi="仿宋_GB2312" w:eastAsia="仿宋_GB2312"/>
          <w:sz w:val="32"/>
          <w:szCs w:val="32"/>
        </w:rPr>
        <w:t>比重</w:t>
      </w:r>
      <w:r>
        <w:rPr>
          <w:rFonts w:hint="eastAsia" w:ascii="仿宋_GB2312" w:hAnsi="仿宋_GB2312" w:eastAsia="仿宋_GB2312"/>
          <w:sz w:val="32"/>
          <w:szCs w:val="32"/>
        </w:rPr>
        <w:t>，</w:t>
      </w:r>
      <w:r>
        <w:rPr>
          <w:rFonts w:ascii="仿宋_GB2312" w:hAnsi="仿宋_GB2312" w:eastAsia="仿宋_GB2312"/>
          <w:sz w:val="32"/>
          <w:szCs w:val="32"/>
        </w:rPr>
        <w:t>及</w:t>
      </w:r>
      <w:r>
        <w:rPr>
          <w:rFonts w:hint="eastAsia" w:ascii="仿宋_GB2312" w:hAnsi="仿宋_GB2312" w:eastAsia="仿宋_GB2312"/>
          <w:sz w:val="32"/>
          <w:szCs w:val="32"/>
        </w:rPr>
        <w:t>银行</w:t>
      </w:r>
      <w:r>
        <w:rPr>
          <w:rFonts w:ascii="仿宋_GB2312" w:hAnsi="仿宋_GB2312" w:eastAsia="仿宋_GB2312"/>
          <w:sz w:val="32"/>
          <w:szCs w:val="32"/>
        </w:rPr>
        <w:t>借款加</w:t>
      </w:r>
      <w:r>
        <w:rPr>
          <w:rFonts w:hint="eastAsia" w:ascii="仿宋_GB2312" w:hAnsi="仿宋_GB2312" w:eastAsia="仿宋_GB2312"/>
          <w:sz w:val="32"/>
          <w:szCs w:val="32"/>
        </w:rPr>
        <w:t>上</w:t>
      </w:r>
      <w:r>
        <w:rPr>
          <w:rFonts w:ascii="仿宋_GB2312" w:hAnsi="仿宋_GB2312" w:eastAsia="仿宋_GB2312"/>
          <w:sz w:val="32"/>
          <w:szCs w:val="32"/>
        </w:rPr>
        <w:t>债务融资工具</w:t>
      </w:r>
      <w:r>
        <w:rPr>
          <w:rFonts w:hint="eastAsia" w:ascii="仿宋_GB2312" w:hAnsi="仿宋_GB2312" w:eastAsia="仿宋_GB2312"/>
          <w:sz w:val="32"/>
          <w:szCs w:val="32"/>
        </w:rPr>
        <w:t>余额</w:t>
      </w:r>
      <w:r>
        <w:rPr>
          <w:rFonts w:ascii="仿宋_GB2312" w:hAnsi="仿宋_GB2312" w:eastAsia="仿宋_GB2312"/>
          <w:sz w:val="32"/>
          <w:szCs w:val="32"/>
        </w:rPr>
        <w:t>所占比重。</w:t>
      </w:r>
    </w:p>
    <w:p>
      <w:pPr>
        <w:tabs>
          <w:tab w:val="left" w:pos="756"/>
        </w:tabs>
        <w:spacing w:line="560" w:lineRule="exact"/>
        <w:ind w:firstLine="640" w:firstLineChars="200"/>
        <w:textAlignment w:val="baseline"/>
        <w:rPr>
          <w:rFonts w:ascii="仿宋_GB2312" w:hAnsi="黑体" w:eastAsia="仿宋_GB2312"/>
          <w:kern w:val="0"/>
          <w:sz w:val="32"/>
          <w:szCs w:val="32"/>
        </w:rPr>
      </w:pPr>
      <w:r>
        <w:rPr>
          <w:rFonts w:hint="eastAsia" w:ascii="仿宋_GB2312" w:hAnsi="仿宋_GB2312" w:eastAsia="仿宋_GB2312"/>
          <w:sz w:val="32"/>
          <w:szCs w:val="32"/>
        </w:rPr>
        <w:t>（</w:t>
      </w:r>
      <w:r>
        <w:rPr>
          <w:rFonts w:ascii="仿宋_GB2312" w:hAnsi="仿宋_GB2312" w:eastAsia="仿宋_GB2312"/>
          <w:sz w:val="32"/>
          <w:szCs w:val="32"/>
        </w:rPr>
        <w:t>3）</w:t>
      </w:r>
      <w:r>
        <w:rPr>
          <w:rFonts w:ascii="仿宋_GB2312" w:hAnsi="黑体" w:eastAsia="仿宋_GB2312"/>
          <w:kern w:val="0"/>
          <w:sz w:val="32"/>
          <w:szCs w:val="32"/>
        </w:rPr>
        <w:t>发行人</w:t>
      </w:r>
      <w:r>
        <w:rPr>
          <w:rFonts w:hint="eastAsia" w:ascii="仿宋_GB2312" w:hAnsi="黑体" w:eastAsia="仿宋_GB2312"/>
          <w:kern w:val="0"/>
          <w:sz w:val="32"/>
          <w:szCs w:val="32"/>
        </w:rPr>
        <w:t>原则上应提供如下</w:t>
      </w:r>
      <w:r>
        <w:rPr>
          <w:rFonts w:ascii="仿宋_GB2312" w:hAnsi="黑体" w:eastAsia="仿宋_GB2312"/>
          <w:kern w:val="0"/>
          <w:sz w:val="32"/>
          <w:szCs w:val="32"/>
        </w:rPr>
        <w:t>有息负债结构的变动情况</w:t>
      </w:r>
      <w:r>
        <w:rPr>
          <w:rFonts w:hint="eastAsia" w:ascii="仿宋_GB2312" w:hAnsi="黑体" w:eastAsia="仿宋_GB2312"/>
          <w:kern w:val="0"/>
          <w:sz w:val="32"/>
          <w:szCs w:val="32"/>
        </w:rPr>
        <w:t>：</w:t>
      </w:r>
    </w:p>
    <w:p>
      <w:pPr>
        <w:adjustRightInd w:val="0"/>
        <w:snapToGrid w:val="0"/>
        <w:spacing w:before="120" w:after="120"/>
        <w:ind w:firstLine="420" w:firstLineChars="200"/>
        <w:contextualSpacing/>
        <w:jc w:val="right"/>
        <w:rPr>
          <w:rFonts w:ascii="仿宋_GB2312" w:hAnsi="Times New Roman" w:eastAsia="仿宋_GB2312"/>
          <w:color w:val="000000"/>
          <w:sz w:val="28"/>
          <w:szCs w:val="28"/>
        </w:rPr>
      </w:pPr>
      <w:r>
        <w:rPr>
          <w:rFonts w:hint="eastAsia" w:ascii="仿宋_GB2312" w:hAnsi="Times New Roman" w:eastAsia="仿宋_GB2312"/>
          <w:color w:val="000000"/>
          <w:szCs w:val="21"/>
        </w:rPr>
        <w:t>单位：亿元，%</w:t>
      </w:r>
    </w:p>
    <w:tbl>
      <w:tblPr>
        <w:tblStyle w:val="10"/>
        <w:tblW w:w="10062" w:type="dxa"/>
        <w:jc w:val="center"/>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2455"/>
        <w:gridCol w:w="875"/>
        <w:gridCol w:w="708"/>
        <w:gridCol w:w="851"/>
        <w:gridCol w:w="709"/>
        <w:gridCol w:w="850"/>
        <w:gridCol w:w="709"/>
        <w:gridCol w:w="709"/>
        <w:gridCol w:w="708"/>
        <w:gridCol w:w="779"/>
        <w:gridCol w:w="709"/>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项目</w:t>
            </w:r>
          </w:p>
        </w:tc>
        <w:tc>
          <w:tcPr>
            <w:tcW w:w="1583"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一年以内（含1年）</w:t>
            </w:r>
          </w:p>
        </w:tc>
        <w:tc>
          <w:tcPr>
            <w:tcW w:w="1560"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20XX年X-X月</w:t>
            </w:r>
          </w:p>
        </w:tc>
        <w:tc>
          <w:tcPr>
            <w:tcW w:w="1559"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20XX年</w:t>
            </w:r>
          </w:p>
        </w:tc>
        <w:tc>
          <w:tcPr>
            <w:tcW w:w="141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20XX年</w:t>
            </w:r>
          </w:p>
        </w:tc>
        <w:tc>
          <w:tcPr>
            <w:tcW w:w="148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20XX年</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323" w:hRule="atLeast"/>
          <w:jc w:val="center"/>
        </w:trPr>
        <w:tc>
          <w:tcPr>
            <w:tcW w:w="245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b/>
                <w:bCs/>
                <w:color w:val="000000"/>
                <w:sz w:val="22"/>
              </w:rPr>
            </w:pPr>
          </w:p>
        </w:tc>
        <w:tc>
          <w:tcPr>
            <w:tcW w:w="87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金额</w:t>
            </w:r>
          </w:p>
        </w:tc>
        <w:tc>
          <w:tcPr>
            <w:tcW w:w="7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占比</w:t>
            </w:r>
          </w:p>
        </w:tc>
        <w:tc>
          <w:tcPr>
            <w:tcW w:w="851"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金额</w:t>
            </w:r>
          </w:p>
        </w:tc>
        <w:tc>
          <w:tcPr>
            <w:tcW w:w="70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占比</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金额</w:t>
            </w:r>
          </w:p>
        </w:tc>
        <w:tc>
          <w:tcPr>
            <w:tcW w:w="70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占比</w:t>
            </w:r>
          </w:p>
        </w:tc>
        <w:tc>
          <w:tcPr>
            <w:tcW w:w="70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金额</w:t>
            </w:r>
          </w:p>
        </w:tc>
        <w:tc>
          <w:tcPr>
            <w:tcW w:w="70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占比</w:t>
            </w:r>
          </w:p>
        </w:tc>
        <w:tc>
          <w:tcPr>
            <w:tcW w:w="77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金额</w:t>
            </w:r>
          </w:p>
        </w:tc>
        <w:tc>
          <w:tcPr>
            <w:tcW w:w="70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占比</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银行贷款</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其中担保贷款</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其中：政策性银行</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国有六大行</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股份制银行</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地方城商行</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地方农商行</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其他银行</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债券融资</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其中：公司债券</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企业债券</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债务融资工具</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非标融资</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其中：信托融资</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融资租赁</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保险融资计划</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区域股权市场融资</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其他融资</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color w:val="000000"/>
                <w:sz w:val="22"/>
              </w:rPr>
            </w:pPr>
            <w:r>
              <w:rPr>
                <w:rFonts w:hint="eastAsia" w:ascii="仿宋_GB2312" w:hAnsi="宋体" w:eastAsia="仿宋_GB2312" w:cs="仿宋_GB2312"/>
                <w:color w:val="000000"/>
                <w:kern w:val="0"/>
                <w:sz w:val="22"/>
              </w:rPr>
              <w:t xml:space="preserve">  其中：请按企业实际情况列举具体构成</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仿宋_GB2312" w:hAnsi="宋体" w:eastAsia="仿宋_GB2312" w:cs="仿宋_GB2312"/>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地方专项债券转贷等</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224" w:hRule="atLeast"/>
          <w:jc w:val="center"/>
        </w:trPr>
        <w:tc>
          <w:tcPr>
            <w:tcW w:w="245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仿宋_GB2312" w:hAnsi="宋体" w:eastAsia="仿宋_GB2312" w:cs="仿宋_GB2312"/>
                <w:b/>
                <w:bCs/>
                <w:color w:val="000000"/>
                <w:sz w:val="22"/>
              </w:rPr>
            </w:pPr>
            <w:r>
              <w:rPr>
                <w:rFonts w:hint="eastAsia" w:ascii="仿宋_GB2312" w:hAnsi="宋体" w:eastAsia="仿宋_GB2312" w:cs="仿宋_GB2312"/>
                <w:b/>
                <w:bCs/>
                <w:color w:val="000000"/>
                <w:kern w:val="0"/>
                <w:sz w:val="22"/>
              </w:rPr>
              <w:t>合计</w:t>
            </w:r>
          </w:p>
        </w:tc>
        <w:tc>
          <w:tcPr>
            <w:tcW w:w="87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85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7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22"/>
              </w:rPr>
            </w:pPr>
          </w:p>
        </w:tc>
      </w:tr>
    </w:tbl>
    <w:p>
      <w:pPr>
        <w:autoSpaceDE w:val="0"/>
        <w:autoSpaceDN w:val="0"/>
        <w:adjustRightInd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其中截至募集说明书签署日，发行人已发行尚未兑付的债券余额和类型如下：</w:t>
      </w:r>
    </w:p>
    <w:p>
      <w:pPr>
        <w:spacing w:line="240" w:lineRule="atLeast"/>
        <w:ind w:firstLine="420" w:firstLineChars="200"/>
        <w:contextualSpacing/>
        <w:jc w:val="right"/>
        <w:rPr>
          <w:rFonts w:ascii="仿宋_GB2312" w:hAnsi="Calibri" w:eastAsia="仿宋_GB2312" w:cs="Times New Roman"/>
          <w:sz w:val="28"/>
          <w:szCs w:val="28"/>
        </w:rPr>
      </w:pPr>
      <w:r>
        <w:rPr>
          <w:rFonts w:hint="eastAsia" w:ascii="仿宋_GB2312" w:hAnsi="Calibri" w:eastAsia="仿宋_GB2312" w:cs="Times New Roman"/>
          <w:szCs w:val="21"/>
        </w:rPr>
        <w:t>单位：亿元、</w:t>
      </w:r>
      <w:r>
        <w:rPr>
          <w:rFonts w:ascii="仿宋_GB2312" w:hAnsi="Calibri" w:eastAsia="仿宋_GB2312" w:cs="Times New Roman"/>
          <w:szCs w:val="21"/>
        </w:rPr>
        <w:t>%</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4"/>
        <w:gridCol w:w="2388"/>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7" w:type="pct"/>
            <w:shd w:val="clear" w:color="auto" w:fill="auto"/>
            <w:vAlign w:val="center"/>
          </w:tcPr>
          <w:p>
            <w:pPr>
              <w:widowControl/>
              <w:adjustRightInd w:val="0"/>
              <w:snapToGrid w:val="0"/>
              <w:jc w:val="center"/>
              <w:rPr>
                <w:rFonts w:ascii="仿宋_GB2312" w:hAnsi="Times New Roman" w:eastAsia="仿宋_GB2312" w:cs="Times New Roman"/>
                <w:b/>
                <w:color w:val="000000"/>
                <w:kern w:val="0"/>
                <w:szCs w:val="21"/>
              </w:rPr>
            </w:pPr>
            <w:r>
              <w:rPr>
                <w:rFonts w:hint="eastAsia" w:ascii="仿宋_GB2312" w:hAnsi="Times New Roman" w:eastAsia="仿宋_GB2312" w:cs="Times New Roman"/>
                <w:b/>
                <w:color w:val="000000"/>
                <w:kern w:val="0"/>
                <w:szCs w:val="21"/>
              </w:rPr>
              <w:t>项目</w:t>
            </w:r>
          </w:p>
        </w:tc>
        <w:tc>
          <w:tcPr>
            <w:tcW w:w="1401" w:type="pct"/>
            <w:shd w:val="clear" w:color="auto" w:fill="auto"/>
            <w:noWrap/>
            <w:vAlign w:val="center"/>
          </w:tcPr>
          <w:p>
            <w:pPr>
              <w:widowControl/>
              <w:adjustRightInd w:val="0"/>
              <w:snapToGrid w:val="0"/>
              <w:jc w:val="center"/>
              <w:rPr>
                <w:rFonts w:ascii="仿宋_GB2312" w:hAnsi="Times New Roman" w:eastAsia="仿宋_GB2312" w:cs="Times New Roman"/>
                <w:color w:val="000000"/>
                <w:kern w:val="0"/>
                <w:szCs w:val="21"/>
              </w:rPr>
            </w:pPr>
            <w:r>
              <w:rPr>
                <w:rFonts w:hint="eastAsia" w:ascii="仿宋_GB2312" w:hAnsi="Times New Roman" w:eastAsia="仿宋_GB2312" w:cs="Times New Roman"/>
                <w:b/>
                <w:color w:val="000000"/>
                <w:kern w:val="0"/>
                <w:szCs w:val="21"/>
              </w:rPr>
              <w:t>余额</w:t>
            </w:r>
          </w:p>
        </w:tc>
        <w:tc>
          <w:tcPr>
            <w:tcW w:w="1402" w:type="pct"/>
            <w:shd w:val="clear" w:color="auto" w:fill="auto"/>
            <w:noWrap/>
            <w:vAlign w:val="center"/>
          </w:tcPr>
          <w:p>
            <w:pPr>
              <w:widowControl/>
              <w:adjustRightInd w:val="0"/>
              <w:snapToGrid w:val="0"/>
              <w:jc w:val="center"/>
              <w:rPr>
                <w:rFonts w:ascii="仿宋_GB2312" w:hAnsi="Times New Roman" w:eastAsia="仿宋_GB2312" w:cs="Times New Roman"/>
                <w:b/>
                <w:color w:val="000000"/>
                <w:kern w:val="0"/>
                <w:szCs w:val="21"/>
              </w:rPr>
            </w:pPr>
            <w:r>
              <w:rPr>
                <w:rFonts w:hint="eastAsia" w:ascii="仿宋_GB2312" w:hAnsi="Times New Roman" w:eastAsia="仿宋_GB2312" w:cs="Times New Roman"/>
                <w:b/>
                <w:color w:val="000000"/>
                <w:kern w:val="0"/>
                <w:szCs w:val="21"/>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7" w:type="pct"/>
            <w:shd w:val="clear" w:color="auto" w:fill="auto"/>
            <w:noWrap/>
            <w:vAlign w:val="center"/>
          </w:tcPr>
          <w:p>
            <w:pPr>
              <w:widowControl/>
              <w:adjustRightInd w:val="0"/>
              <w:snapToGrid w:val="0"/>
              <w:jc w:val="left"/>
              <w:rPr>
                <w:rFonts w:ascii="仿宋_GB2312" w:hAnsi="Times New Roman" w:eastAsia="仿宋_GB2312" w:cs="Times New Roman"/>
                <w:color w:val="000000"/>
                <w:kern w:val="0"/>
                <w:szCs w:val="21"/>
              </w:rPr>
            </w:pPr>
            <w:r>
              <w:rPr>
                <w:rFonts w:hint="eastAsia" w:ascii="仿宋_GB2312" w:hAnsi="Times New Roman" w:eastAsia="仿宋_GB2312" w:cs="Times New Roman"/>
                <w:color w:val="000000"/>
                <w:kern w:val="0"/>
                <w:szCs w:val="21"/>
              </w:rPr>
              <w:t>公司债券</w:t>
            </w:r>
          </w:p>
        </w:tc>
        <w:tc>
          <w:tcPr>
            <w:tcW w:w="1401"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402"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7" w:type="pct"/>
            <w:shd w:val="clear" w:color="auto" w:fill="auto"/>
            <w:noWrap/>
            <w:vAlign w:val="center"/>
          </w:tcPr>
          <w:p>
            <w:pPr>
              <w:widowControl/>
              <w:adjustRightInd w:val="0"/>
              <w:snapToGrid w:val="0"/>
              <w:jc w:val="left"/>
              <w:rPr>
                <w:rFonts w:ascii="仿宋_GB2312" w:hAnsi="Times New Roman" w:eastAsia="仿宋_GB2312" w:cs="Times New Roman"/>
                <w:color w:val="000000"/>
                <w:kern w:val="0"/>
                <w:szCs w:val="21"/>
              </w:rPr>
            </w:pPr>
            <w:r>
              <w:rPr>
                <w:rFonts w:hint="eastAsia" w:ascii="仿宋_GB2312" w:hAnsi="Times New Roman" w:eastAsia="仿宋_GB2312" w:cs="Times New Roman"/>
                <w:color w:val="000000"/>
                <w:kern w:val="0"/>
                <w:szCs w:val="21"/>
              </w:rPr>
              <w:t>非金融企业债务融资工具</w:t>
            </w:r>
          </w:p>
        </w:tc>
        <w:tc>
          <w:tcPr>
            <w:tcW w:w="1401"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402"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7" w:type="pct"/>
            <w:shd w:val="clear" w:color="auto" w:fill="auto"/>
            <w:noWrap/>
            <w:vAlign w:val="center"/>
          </w:tcPr>
          <w:p>
            <w:pPr>
              <w:widowControl/>
              <w:adjustRightInd w:val="0"/>
              <w:snapToGrid w:val="0"/>
              <w:ind w:right="210"/>
              <w:jc w:val="left"/>
              <w:rPr>
                <w:rFonts w:ascii="仿宋_GB2312" w:hAnsi="Times New Roman" w:eastAsia="仿宋_GB2312" w:cs="Times New Roman"/>
                <w:color w:val="000000"/>
                <w:kern w:val="0"/>
                <w:szCs w:val="21"/>
              </w:rPr>
            </w:pPr>
            <w:r>
              <w:rPr>
                <w:rFonts w:hint="eastAsia" w:ascii="仿宋_GB2312" w:hAnsi="Times New Roman" w:eastAsia="仿宋_GB2312" w:cs="Times New Roman"/>
                <w:color w:val="000000"/>
                <w:kern w:val="0"/>
                <w:szCs w:val="21"/>
              </w:rPr>
              <w:t>企业债券</w:t>
            </w:r>
          </w:p>
        </w:tc>
        <w:tc>
          <w:tcPr>
            <w:tcW w:w="1401"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402"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7" w:type="pct"/>
            <w:shd w:val="clear" w:color="auto" w:fill="auto"/>
            <w:noWrap/>
            <w:vAlign w:val="center"/>
          </w:tcPr>
          <w:p>
            <w:pPr>
              <w:widowControl/>
              <w:adjustRightInd w:val="0"/>
              <w:snapToGrid w:val="0"/>
              <w:ind w:right="210"/>
              <w:jc w:val="left"/>
              <w:rPr>
                <w:rFonts w:ascii="仿宋_GB2312" w:hAnsi="Times New Roman" w:eastAsia="仿宋_GB2312" w:cs="Times New Roman"/>
                <w:color w:val="000000"/>
                <w:kern w:val="0"/>
                <w:szCs w:val="21"/>
              </w:rPr>
            </w:pPr>
            <w:r>
              <w:rPr>
                <w:rFonts w:hint="eastAsia" w:ascii="仿宋_GB2312" w:hAnsi="Times New Roman" w:eastAsia="仿宋_GB2312" w:cs="Times New Roman"/>
                <w:color w:val="000000"/>
                <w:kern w:val="0"/>
                <w:szCs w:val="21"/>
              </w:rPr>
              <w:t>其他（列明具体债券类型）</w:t>
            </w:r>
          </w:p>
        </w:tc>
        <w:tc>
          <w:tcPr>
            <w:tcW w:w="1401"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402"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97" w:type="pct"/>
            <w:shd w:val="clear" w:color="auto" w:fill="auto"/>
            <w:noWrap/>
            <w:vAlign w:val="center"/>
          </w:tcPr>
          <w:p>
            <w:pPr>
              <w:widowControl/>
              <w:adjustRightInd w:val="0"/>
              <w:snapToGrid w:val="0"/>
              <w:jc w:val="center"/>
              <w:rPr>
                <w:rFonts w:ascii="仿宋_GB2312" w:hAnsi="Times New Roman" w:eastAsia="仿宋_GB2312" w:cs="Times New Roman"/>
                <w:b/>
                <w:color w:val="000000"/>
                <w:kern w:val="0"/>
                <w:szCs w:val="21"/>
              </w:rPr>
            </w:pPr>
            <w:r>
              <w:rPr>
                <w:rFonts w:hint="eastAsia" w:ascii="仿宋_GB2312" w:hAnsi="Times New Roman" w:eastAsia="仿宋_GB2312" w:cs="Times New Roman"/>
                <w:b/>
                <w:color w:val="000000"/>
                <w:kern w:val="0"/>
                <w:szCs w:val="21"/>
              </w:rPr>
              <w:t>合计</w:t>
            </w:r>
          </w:p>
        </w:tc>
        <w:tc>
          <w:tcPr>
            <w:tcW w:w="1401"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402"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bl>
    <w:p>
      <w:pPr>
        <w:autoSpaceDE w:val="0"/>
        <w:autoSpaceDN w:val="0"/>
        <w:adjustRightInd w:val="0"/>
        <w:spacing w:line="560" w:lineRule="exact"/>
        <w:ind w:firstLine="640" w:firstLineChars="200"/>
        <w:rPr>
          <w:rFonts w:ascii="仿宋_GB2312" w:hAnsi="仿宋_GB2312" w:eastAsia="仿宋_GB2312"/>
          <w:sz w:val="32"/>
          <w:szCs w:val="32"/>
        </w:rPr>
      </w:pPr>
      <w:r>
        <w:rPr>
          <w:rFonts w:ascii="仿宋_GB2312" w:hAnsi="仿宋_GB2312" w:eastAsia="仿宋_GB2312"/>
          <w:sz w:val="32"/>
          <w:szCs w:val="32"/>
        </w:rPr>
        <w:t>3.</w:t>
      </w:r>
      <w:r>
        <w:rPr>
          <w:rFonts w:hint="eastAsia" w:ascii="仿宋_GB2312" w:hAnsi="仿宋_GB2312" w:eastAsia="仿宋_GB2312"/>
          <w:sz w:val="32"/>
          <w:szCs w:val="32"/>
        </w:rPr>
        <w:t>截至募集说明书签署日，发行人及其合并范围内子公司在境内各债券市场已获注册</w:t>
      </w:r>
      <w:r>
        <w:rPr>
          <w:rFonts w:ascii="仿宋_GB2312" w:hAnsi="仿宋_GB2312" w:eastAsia="仿宋_GB2312"/>
          <w:sz w:val="32"/>
          <w:szCs w:val="32"/>
        </w:rPr>
        <w:t>/备案尚未发行的债券产品情况如下：</w:t>
      </w:r>
    </w:p>
    <w:p>
      <w:pPr>
        <w:widowControl/>
        <w:adjustRightInd w:val="0"/>
        <w:jc w:val="right"/>
        <w:textAlignment w:val="baseline"/>
        <w:rPr>
          <w:rFonts w:ascii="仿宋_GB2312" w:eastAsia="仿宋_GB2312"/>
          <w:color w:val="000000"/>
          <w:kern w:val="0"/>
          <w:szCs w:val="21"/>
        </w:rPr>
      </w:pPr>
      <w:r>
        <w:rPr>
          <w:rFonts w:hint="eastAsia" w:ascii="仿宋_GB2312" w:eastAsia="仿宋_GB2312"/>
          <w:color w:val="000000"/>
          <w:kern w:val="0"/>
          <w:szCs w:val="21"/>
        </w:rPr>
        <w:t>单位：亿元</w:t>
      </w:r>
    </w:p>
    <w:tbl>
      <w:tblPr>
        <w:tblStyle w:val="10"/>
        <w:tblW w:w="49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9"/>
        <w:gridCol w:w="1988"/>
        <w:gridCol w:w="1988"/>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8" w:type="pct"/>
            <w:shd w:val="clear" w:color="auto" w:fill="auto"/>
            <w:vAlign w:val="center"/>
          </w:tcPr>
          <w:p>
            <w:pPr>
              <w:widowControl/>
              <w:adjustRightInd w:val="0"/>
              <w:snapToGrid w:val="0"/>
              <w:jc w:val="center"/>
              <w:rPr>
                <w:rFonts w:ascii="仿宋_GB2312" w:hAnsi="Times New Roman" w:eastAsia="仿宋_GB2312" w:cs="Times New Roman"/>
                <w:b/>
                <w:color w:val="000000"/>
                <w:kern w:val="0"/>
                <w:szCs w:val="21"/>
              </w:rPr>
            </w:pPr>
            <w:r>
              <w:rPr>
                <w:rFonts w:hint="eastAsia" w:ascii="仿宋_GB2312" w:hAnsi="Times New Roman" w:eastAsia="仿宋_GB2312" w:cs="Times New Roman"/>
                <w:b/>
                <w:color w:val="000000"/>
                <w:kern w:val="0"/>
                <w:szCs w:val="21"/>
              </w:rPr>
              <w:t>获取批文主体名称</w:t>
            </w:r>
          </w:p>
        </w:tc>
        <w:tc>
          <w:tcPr>
            <w:tcW w:w="1177" w:type="pct"/>
            <w:shd w:val="clear" w:color="auto" w:fill="auto"/>
            <w:noWrap/>
            <w:vAlign w:val="center"/>
          </w:tcPr>
          <w:p>
            <w:pPr>
              <w:widowControl/>
              <w:adjustRightInd w:val="0"/>
              <w:snapToGrid w:val="0"/>
              <w:jc w:val="center"/>
              <w:rPr>
                <w:rFonts w:ascii="仿宋_GB2312" w:hAnsi="Times New Roman" w:eastAsia="仿宋_GB2312" w:cs="Times New Roman"/>
                <w:color w:val="000000"/>
                <w:kern w:val="0"/>
                <w:szCs w:val="21"/>
              </w:rPr>
            </w:pPr>
            <w:r>
              <w:rPr>
                <w:rFonts w:hint="eastAsia" w:ascii="仿宋_GB2312" w:hAnsi="Times New Roman" w:eastAsia="仿宋_GB2312" w:cs="Times New Roman"/>
                <w:b/>
                <w:color w:val="000000"/>
                <w:kern w:val="0"/>
                <w:szCs w:val="21"/>
              </w:rPr>
              <w:t>债券产品类型</w:t>
            </w:r>
          </w:p>
        </w:tc>
        <w:tc>
          <w:tcPr>
            <w:tcW w:w="1177" w:type="pct"/>
            <w:vAlign w:val="center"/>
          </w:tcPr>
          <w:p>
            <w:pPr>
              <w:widowControl/>
              <w:adjustRightInd w:val="0"/>
              <w:snapToGrid w:val="0"/>
              <w:jc w:val="center"/>
              <w:rPr>
                <w:rFonts w:ascii="仿宋_GB2312" w:hAnsi="Times New Roman" w:eastAsia="仿宋_GB2312" w:cs="Times New Roman"/>
                <w:b/>
                <w:color w:val="000000"/>
                <w:kern w:val="0"/>
                <w:szCs w:val="21"/>
              </w:rPr>
            </w:pPr>
            <w:r>
              <w:rPr>
                <w:rFonts w:hint="eastAsia" w:ascii="仿宋_GB2312" w:hAnsi="Times New Roman" w:eastAsia="仿宋_GB2312" w:cs="Times New Roman"/>
                <w:b/>
                <w:color w:val="000000"/>
                <w:kern w:val="0"/>
                <w:szCs w:val="21"/>
              </w:rPr>
              <w:t>剩余未发行额度</w:t>
            </w:r>
          </w:p>
        </w:tc>
        <w:tc>
          <w:tcPr>
            <w:tcW w:w="1178" w:type="pct"/>
            <w:shd w:val="clear" w:color="auto" w:fill="auto"/>
            <w:noWrap/>
            <w:vAlign w:val="center"/>
          </w:tcPr>
          <w:p>
            <w:pPr>
              <w:widowControl/>
              <w:adjustRightInd w:val="0"/>
              <w:snapToGrid w:val="0"/>
              <w:jc w:val="center"/>
              <w:rPr>
                <w:rFonts w:ascii="仿宋_GB2312" w:hAnsi="Times New Roman" w:eastAsia="仿宋_GB2312" w:cs="Times New Roman"/>
                <w:b/>
                <w:color w:val="000000"/>
                <w:kern w:val="0"/>
                <w:szCs w:val="21"/>
              </w:rPr>
            </w:pPr>
            <w:r>
              <w:rPr>
                <w:rFonts w:hint="eastAsia" w:ascii="仿宋_GB2312" w:hAnsi="Times New Roman" w:eastAsia="仿宋_GB2312" w:cs="Times New Roman"/>
                <w:b/>
                <w:color w:val="000000"/>
                <w:kern w:val="0"/>
                <w:szCs w:val="21"/>
              </w:rPr>
              <w:t>批文到期日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8" w:type="pct"/>
            <w:shd w:val="clear" w:color="auto" w:fill="auto"/>
            <w:noWrap/>
            <w:vAlign w:val="center"/>
          </w:tcPr>
          <w:p>
            <w:pPr>
              <w:widowControl/>
              <w:adjustRightInd w:val="0"/>
              <w:snapToGrid w:val="0"/>
              <w:jc w:val="left"/>
              <w:rPr>
                <w:rFonts w:ascii="仿宋_GB2312" w:hAnsi="Times New Roman" w:eastAsia="仿宋_GB2312" w:cs="Times New Roman"/>
                <w:color w:val="000000"/>
                <w:kern w:val="0"/>
                <w:szCs w:val="21"/>
              </w:rPr>
            </w:pPr>
          </w:p>
        </w:tc>
        <w:tc>
          <w:tcPr>
            <w:tcW w:w="1177"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177" w:type="pct"/>
            <w:vAlign w:val="center"/>
          </w:tcPr>
          <w:p>
            <w:pPr>
              <w:widowControl/>
              <w:adjustRightInd w:val="0"/>
              <w:snapToGrid w:val="0"/>
              <w:jc w:val="right"/>
              <w:rPr>
                <w:rFonts w:ascii="仿宋_GB2312" w:hAnsi="Times New Roman" w:eastAsia="仿宋_GB2312" w:cs="Times New Roman"/>
                <w:color w:val="000000"/>
                <w:kern w:val="0"/>
                <w:szCs w:val="21"/>
              </w:rPr>
            </w:pPr>
          </w:p>
        </w:tc>
        <w:tc>
          <w:tcPr>
            <w:tcW w:w="1178"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8" w:type="pct"/>
            <w:shd w:val="clear" w:color="auto" w:fill="auto"/>
            <w:noWrap/>
            <w:vAlign w:val="center"/>
          </w:tcPr>
          <w:p>
            <w:pPr>
              <w:widowControl/>
              <w:adjustRightInd w:val="0"/>
              <w:snapToGrid w:val="0"/>
              <w:jc w:val="left"/>
              <w:rPr>
                <w:rFonts w:ascii="仿宋_GB2312" w:hAnsi="Times New Roman" w:eastAsia="仿宋_GB2312" w:cs="Times New Roman"/>
                <w:color w:val="000000"/>
                <w:kern w:val="0"/>
                <w:szCs w:val="21"/>
              </w:rPr>
            </w:pPr>
          </w:p>
        </w:tc>
        <w:tc>
          <w:tcPr>
            <w:tcW w:w="1177"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177" w:type="pct"/>
            <w:vAlign w:val="center"/>
          </w:tcPr>
          <w:p>
            <w:pPr>
              <w:widowControl/>
              <w:adjustRightInd w:val="0"/>
              <w:snapToGrid w:val="0"/>
              <w:jc w:val="right"/>
              <w:rPr>
                <w:rFonts w:ascii="仿宋_GB2312" w:hAnsi="Times New Roman" w:eastAsia="仿宋_GB2312" w:cs="Times New Roman"/>
                <w:color w:val="000000"/>
                <w:kern w:val="0"/>
                <w:szCs w:val="21"/>
              </w:rPr>
            </w:pPr>
          </w:p>
        </w:tc>
        <w:tc>
          <w:tcPr>
            <w:tcW w:w="1178"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8" w:type="pct"/>
            <w:shd w:val="clear" w:color="auto" w:fill="auto"/>
            <w:noWrap/>
            <w:vAlign w:val="center"/>
          </w:tcPr>
          <w:p>
            <w:pPr>
              <w:widowControl/>
              <w:adjustRightInd w:val="0"/>
              <w:snapToGrid w:val="0"/>
              <w:ind w:right="210"/>
              <w:jc w:val="left"/>
              <w:rPr>
                <w:rFonts w:ascii="仿宋_GB2312" w:hAnsi="Times New Roman" w:eastAsia="仿宋_GB2312" w:cs="Times New Roman"/>
                <w:color w:val="000000"/>
                <w:kern w:val="0"/>
                <w:szCs w:val="21"/>
              </w:rPr>
            </w:pPr>
          </w:p>
        </w:tc>
        <w:tc>
          <w:tcPr>
            <w:tcW w:w="1177"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177" w:type="pct"/>
            <w:vAlign w:val="center"/>
          </w:tcPr>
          <w:p>
            <w:pPr>
              <w:widowControl/>
              <w:adjustRightInd w:val="0"/>
              <w:snapToGrid w:val="0"/>
              <w:jc w:val="right"/>
              <w:rPr>
                <w:rFonts w:ascii="仿宋_GB2312" w:hAnsi="Times New Roman" w:eastAsia="仿宋_GB2312" w:cs="Times New Roman"/>
                <w:color w:val="000000"/>
                <w:kern w:val="0"/>
                <w:szCs w:val="21"/>
              </w:rPr>
            </w:pPr>
          </w:p>
        </w:tc>
        <w:tc>
          <w:tcPr>
            <w:tcW w:w="1178"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8" w:type="pct"/>
            <w:shd w:val="clear" w:color="auto" w:fill="auto"/>
            <w:noWrap/>
            <w:vAlign w:val="center"/>
          </w:tcPr>
          <w:p>
            <w:pPr>
              <w:widowControl/>
              <w:adjustRightInd w:val="0"/>
              <w:snapToGrid w:val="0"/>
              <w:ind w:right="210"/>
              <w:jc w:val="left"/>
              <w:rPr>
                <w:rFonts w:ascii="仿宋_GB2312" w:hAnsi="Times New Roman" w:eastAsia="仿宋_GB2312" w:cs="Times New Roman"/>
                <w:color w:val="000000"/>
                <w:kern w:val="0"/>
                <w:szCs w:val="21"/>
              </w:rPr>
            </w:pPr>
          </w:p>
        </w:tc>
        <w:tc>
          <w:tcPr>
            <w:tcW w:w="1177"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177" w:type="pct"/>
            <w:vAlign w:val="center"/>
          </w:tcPr>
          <w:p>
            <w:pPr>
              <w:widowControl/>
              <w:adjustRightInd w:val="0"/>
              <w:snapToGrid w:val="0"/>
              <w:jc w:val="right"/>
              <w:rPr>
                <w:rFonts w:ascii="仿宋_GB2312" w:hAnsi="Times New Roman" w:eastAsia="仿宋_GB2312" w:cs="Times New Roman"/>
                <w:color w:val="000000"/>
                <w:kern w:val="0"/>
                <w:szCs w:val="21"/>
              </w:rPr>
            </w:pPr>
          </w:p>
        </w:tc>
        <w:tc>
          <w:tcPr>
            <w:tcW w:w="1178"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68" w:type="pct"/>
            <w:shd w:val="clear" w:color="auto" w:fill="auto"/>
            <w:noWrap/>
            <w:vAlign w:val="center"/>
          </w:tcPr>
          <w:p>
            <w:pPr>
              <w:widowControl/>
              <w:adjustRightInd w:val="0"/>
              <w:snapToGrid w:val="0"/>
              <w:jc w:val="center"/>
              <w:rPr>
                <w:rFonts w:ascii="仿宋_GB2312" w:hAnsi="Times New Roman" w:eastAsia="仿宋_GB2312" w:cs="Times New Roman"/>
                <w:b/>
                <w:color w:val="000000"/>
                <w:kern w:val="0"/>
                <w:szCs w:val="21"/>
              </w:rPr>
            </w:pPr>
            <w:r>
              <w:rPr>
                <w:rFonts w:hint="eastAsia" w:ascii="仿宋_GB2312" w:hAnsi="Times New Roman" w:eastAsia="仿宋_GB2312" w:cs="Times New Roman"/>
                <w:b/>
                <w:color w:val="000000"/>
                <w:kern w:val="0"/>
                <w:szCs w:val="21"/>
              </w:rPr>
              <w:t>合计</w:t>
            </w:r>
          </w:p>
        </w:tc>
        <w:tc>
          <w:tcPr>
            <w:tcW w:w="1177"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c>
          <w:tcPr>
            <w:tcW w:w="1177" w:type="pct"/>
            <w:vAlign w:val="center"/>
          </w:tcPr>
          <w:p>
            <w:pPr>
              <w:widowControl/>
              <w:adjustRightInd w:val="0"/>
              <w:snapToGrid w:val="0"/>
              <w:jc w:val="right"/>
              <w:rPr>
                <w:rFonts w:ascii="仿宋_GB2312" w:hAnsi="Times New Roman" w:eastAsia="仿宋_GB2312" w:cs="Times New Roman"/>
                <w:color w:val="000000"/>
                <w:kern w:val="0"/>
                <w:szCs w:val="21"/>
              </w:rPr>
            </w:pPr>
          </w:p>
        </w:tc>
        <w:tc>
          <w:tcPr>
            <w:tcW w:w="1178" w:type="pct"/>
            <w:shd w:val="clear" w:color="auto" w:fill="auto"/>
            <w:noWrap/>
            <w:vAlign w:val="center"/>
          </w:tcPr>
          <w:p>
            <w:pPr>
              <w:widowControl/>
              <w:adjustRightInd w:val="0"/>
              <w:snapToGrid w:val="0"/>
              <w:jc w:val="right"/>
              <w:rPr>
                <w:rFonts w:ascii="仿宋_GB2312" w:hAnsi="Times New Roman" w:eastAsia="仿宋_GB2312" w:cs="Times New Roman"/>
                <w:color w:val="000000"/>
                <w:kern w:val="0"/>
                <w:szCs w:val="21"/>
              </w:rPr>
            </w:pPr>
          </w:p>
        </w:tc>
      </w:tr>
    </w:tbl>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发行人报告期内是否存在申请公司信用类债券被终止、退卷的情况，如有，请详细说明并补充原因。请主承销商提供核查意见。</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4.请说明截至募集说明书签署日，发行人及发行人所属集团债券融资情况：</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w:t>
      </w:r>
      <w:r>
        <w:rPr>
          <w:rFonts w:ascii="仿宋_GB2312" w:eastAsia="仿宋_GB2312" w:hAnsiTheme="minorEastAsia"/>
          <w:sz w:val="32"/>
          <w:szCs w:val="32"/>
        </w:rPr>
        <w:t>1）发行人债券融资情况</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截至募集说明书签署日，发行人存量债券余额为</w:t>
      </w:r>
      <w:r>
        <w:rPr>
          <w:rFonts w:ascii="仿宋_GB2312" w:eastAsia="仿宋_GB2312" w:hAnsiTheme="minorEastAsia"/>
          <w:sz w:val="32"/>
          <w:szCs w:val="32"/>
        </w:rPr>
        <w:t>XX亿元，其中公司债券XX亿元，债务融资工具XX亿元，企业债券XX亿元。</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发行人已注册未发行债券额度为</w:t>
      </w:r>
      <w:r>
        <w:rPr>
          <w:rFonts w:ascii="仿宋_GB2312" w:eastAsia="仿宋_GB2312" w:hAnsiTheme="minorEastAsia"/>
          <w:sz w:val="32"/>
          <w:szCs w:val="32"/>
        </w:rPr>
        <w:t>XX亿元，其中公司债券XX亿元，募集资金用途中XX亿元为偿还公司债券，XX亿元偿还有息债务，XX亿元补充流动资金或项目建设；债务融资工具XX亿元；企业债券XX亿元。</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除本次申报外，发行人在沪深北三所在审公司债券</w:t>
      </w:r>
      <w:r>
        <w:rPr>
          <w:rFonts w:ascii="仿宋_GB2312" w:eastAsia="仿宋_GB2312" w:hAnsiTheme="minorEastAsia"/>
          <w:sz w:val="32"/>
          <w:szCs w:val="32"/>
        </w:rPr>
        <w:t>XX只，申报规模XX亿元，募集资金用途中XX亿元为偿还公司债券，XX亿元偿还有息债务，XX亿元补充流动资金或项目建设。（若在审项目较多，可以列表形式列示。）</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w:t>
      </w:r>
      <w:r>
        <w:rPr>
          <w:rFonts w:ascii="仿宋_GB2312" w:eastAsia="仿宋_GB2312" w:hAnsiTheme="minorEastAsia"/>
          <w:sz w:val="32"/>
          <w:szCs w:val="32"/>
        </w:rPr>
        <w:t>2）发行人所属集团债券融资情况</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①发行人控股股东为政府机构</w:t>
      </w:r>
      <w:r>
        <w:rPr>
          <w:rFonts w:ascii="仿宋_GB2312" w:eastAsia="仿宋_GB2312" w:hAnsiTheme="minorEastAsia"/>
          <w:sz w:val="32"/>
          <w:szCs w:val="32"/>
        </w:rPr>
        <w:t>/XX，因此发行人自身即为集团发债主体。</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②发行人所属一级企业集团为</w:t>
      </w:r>
      <w:r>
        <w:rPr>
          <w:rFonts w:ascii="仿宋_GB2312" w:eastAsia="仿宋_GB2312" w:hAnsiTheme="minorEastAsia"/>
          <w:sz w:val="32"/>
          <w:szCs w:val="32"/>
        </w:rPr>
        <w:t>XX公司，下属主要融资主体X家，截至募集说明书签署日，集团合计存量债券余额为XX亿元，其中公司债券XX亿元，债务融资工具XX亿元，企业债券XX亿元。</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集团合计已注册未发行债券额度为</w:t>
      </w:r>
      <w:r>
        <w:rPr>
          <w:rFonts w:ascii="仿宋_GB2312" w:eastAsia="仿宋_GB2312" w:hAnsiTheme="minorEastAsia"/>
          <w:sz w:val="32"/>
          <w:szCs w:val="32"/>
        </w:rPr>
        <w:t>XX亿元，其中公司债券XX亿元，募集资金用途中XX亿元为偿还公司债券，XX亿元偿还有息债务，XX亿元补充流动资金或项目建设；债务融资工具XX亿元;企业债券XX亿元。</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除本次申报外，集团合计在沪深北三所在审公司债券</w:t>
      </w:r>
      <w:r>
        <w:rPr>
          <w:rFonts w:ascii="仿宋_GB2312" w:eastAsia="仿宋_GB2312" w:hAnsiTheme="minorEastAsia"/>
          <w:sz w:val="32"/>
          <w:szCs w:val="32"/>
        </w:rPr>
        <w:t>XX只，申报规模XX亿元，募集资金用途中XX亿元为偿还公司债券，XX亿元偿还有息债务，XX亿元补充流动资金或项目建设。（若在审项目较多，可以列表形式列示。）</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5.资产受限情况（如有）</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截至报告期末，发行人受限资产金额为</w:t>
      </w:r>
      <w:r>
        <w:rPr>
          <w:rFonts w:ascii="仿宋_GB2312" w:eastAsia="仿宋_GB2312" w:hAnsiTheme="minorEastAsia"/>
          <w:sz w:val="32"/>
          <w:szCs w:val="32"/>
        </w:rPr>
        <w:t>XX亿元，占总资产的比例为XX%。占比较大的，说明主要构成及受限原因。</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ascii="仿宋_GB2312" w:eastAsia="仿宋_GB2312" w:hAnsiTheme="minorEastAsia"/>
          <w:sz w:val="32"/>
          <w:szCs w:val="32"/>
        </w:rPr>
        <w:t>6.对外担保情况（如有）</w:t>
      </w:r>
    </w:p>
    <w:p>
      <w:pPr>
        <w:autoSpaceDE w:val="0"/>
        <w:autoSpaceDN w:val="0"/>
        <w:adjustRightInd w:val="0"/>
        <w:spacing w:line="560" w:lineRule="exact"/>
        <w:ind w:firstLine="640" w:firstLineChars="200"/>
        <w:rPr>
          <w:rFonts w:ascii="仿宋_GB2312" w:eastAsia="仿宋_GB2312" w:hAnsiTheme="minorEastAsia"/>
          <w:sz w:val="32"/>
          <w:szCs w:val="32"/>
        </w:rPr>
      </w:pPr>
      <w:r>
        <w:rPr>
          <w:rFonts w:hint="eastAsia" w:ascii="仿宋_GB2312" w:eastAsia="仿宋_GB2312" w:hAnsiTheme="minorEastAsia"/>
          <w:sz w:val="32"/>
          <w:szCs w:val="32"/>
        </w:rPr>
        <w:t>截至报告期末，发行人对外担保金额为</w:t>
      </w:r>
      <w:r>
        <w:rPr>
          <w:rFonts w:ascii="仿宋_GB2312" w:eastAsia="仿宋_GB2312" w:hAnsiTheme="minorEastAsia"/>
          <w:sz w:val="32"/>
          <w:szCs w:val="32"/>
        </w:rPr>
        <w:t>XX亿元，占净资产的比例为XX%。</w:t>
      </w:r>
      <w:r>
        <w:rPr>
          <w:rFonts w:hint="eastAsia" w:ascii="仿宋_GB2312" w:eastAsia="仿宋_GB2312"/>
          <w:sz w:val="32"/>
          <w:szCs w:val="32"/>
        </w:rPr>
        <w:t>说明是否存在代偿风险，对于对外担保超过净资产或</w:t>
      </w:r>
      <w:r>
        <w:rPr>
          <w:rFonts w:ascii="仿宋_GB2312" w:eastAsia="仿宋_GB2312"/>
          <w:sz w:val="32"/>
          <w:szCs w:val="32"/>
        </w:rPr>
        <w:t>被担保对象较为集中</w:t>
      </w:r>
      <w:r>
        <w:rPr>
          <w:rFonts w:hint="eastAsia" w:ascii="仿宋_GB2312" w:eastAsia="仿宋_GB2312"/>
          <w:sz w:val="32"/>
          <w:szCs w:val="32"/>
        </w:rPr>
        <w:t>的，说明被担保对象的基本情况及资信情况。</w:t>
      </w:r>
    </w:p>
    <w:p>
      <w:pPr>
        <w:tabs>
          <w:tab w:val="left" w:pos="756"/>
        </w:tabs>
        <w:spacing w:line="560" w:lineRule="exact"/>
        <w:ind w:firstLine="642" w:firstLineChars="200"/>
        <w:textAlignment w:val="baseline"/>
        <w:outlineLvl w:val="0"/>
        <w:rPr>
          <w:rFonts w:ascii="黑体" w:hAnsi="黑体" w:eastAsia="黑体"/>
          <w:b/>
          <w:kern w:val="0"/>
          <w:sz w:val="32"/>
          <w:szCs w:val="32"/>
        </w:rPr>
      </w:pPr>
      <w:r>
        <w:rPr>
          <w:rFonts w:hint="eastAsia" w:ascii="黑体" w:hAnsi="黑体" w:eastAsia="黑体"/>
          <w:b/>
          <w:kern w:val="0"/>
          <w:sz w:val="32"/>
          <w:szCs w:val="32"/>
        </w:rPr>
        <w:t>五、评级报告</w:t>
      </w:r>
      <w:r>
        <w:rPr>
          <w:rFonts w:ascii="黑体" w:hAnsi="黑体" w:eastAsia="黑体"/>
          <w:b/>
          <w:kern w:val="0"/>
          <w:sz w:val="32"/>
          <w:szCs w:val="32"/>
        </w:rPr>
        <w:t>关注的主要风险</w:t>
      </w:r>
      <w:r>
        <w:rPr>
          <w:rFonts w:hint="eastAsia" w:ascii="黑体" w:hAnsi="黑体" w:eastAsia="黑体"/>
          <w:b/>
          <w:kern w:val="0"/>
          <w:sz w:val="32"/>
          <w:szCs w:val="32"/>
        </w:rPr>
        <w:t>（如有）</w:t>
      </w:r>
    </w:p>
    <w:p>
      <w:pPr>
        <w:tabs>
          <w:tab w:val="left" w:pos="756"/>
        </w:tabs>
        <w:spacing w:line="560" w:lineRule="exact"/>
        <w:ind w:firstLine="640" w:firstLineChars="200"/>
        <w:textAlignment w:val="baseline"/>
        <w:rPr>
          <w:rFonts w:ascii="仿宋_GB2312" w:hAnsi="黑体" w:eastAsia="仿宋_GB2312"/>
          <w:kern w:val="0"/>
          <w:sz w:val="32"/>
          <w:szCs w:val="32"/>
        </w:rPr>
      </w:pPr>
      <w:r>
        <w:rPr>
          <w:rFonts w:hint="eastAsia" w:ascii="仿宋_GB2312" w:hAnsi="黑体" w:eastAsia="仿宋_GB2312"/>
          <w:kern w:val="0"/>
          <w:sz w:val="32"/>
          <w:szCs w:val="32"/>
        </w:rPr>
        <w:t>（一）</w:t>
      </w:r>
    </w:p>
    <w:p>
      <w:pPr>
        <w:tabs>
          <w:tab w:val="left" w:pos="756"/>
        </w:tabs>
        <w:spacing w:line="560" w:lineRule="exact"/>
        <w:ind w:firstLine="640" w:firstLineChars="200"/>
        <w:textAlignment w:val="baseline"/>
        <w:rPr>
          <w:rFonts w:ascii="仿宋_GB2312" w:hAnsi="黑体" w:eastAsia="仿宋_GB2312"/>
          <w:kern w:val="0"/>
          <w:sz w:val="32"/>
          <w:szCs w:val="32"/>
        </w:rPr>
      </w:pPr>
      <w:r>
        <w:rPr>
          <w:rFonts w:hint="eastAsia" w:ascii="仿宋_GB2312" w:hAnsi="黑体" w:eastAsia="仿宋_GB2312"/>
          <w:kern w:val="0"/>
          <w:sz w:val="32"/>
          <w:szCs w:val="32"/>
        </w:rPr>
        <w:t>（二）</w:t>
      </w:r>
    </w:p>
    <w:p>
      <w:pPr>
        <w:tabs>
          <w:tab w:val="left" w:pos="756"/>
        </w:tabs>
        <w:spacing w:line="560" w:lineRule="exact"/>
        <w:ind w:firstLine="640" w:firstLineChars="200"/>
        <w:textAlignment w:val="baseline"/>
        <w:rPr>
          <w:rFonts w:ascii="黑体" w:hAnsi="黑体" w:eastAsia="黑体"/>
          <w:kern w:val="0"/>
          <w:sz w:val="32"/>
          <w:szCs w:val="32"/>
        </w:rPr>
      </w:pPr>
      <w:r>
        <w:rPr>
          <w:rFonts w:hint="eastAsia" w:ascii="仿宋_GB2312" w:hAnsi="黑体" w:eastAsia="仿宋_GB2312"/>
          <w:kern w:val="0"/>
          <w:sz w:val="32"/>
          <w:szCs w:val="32"/>
        </w:rPr>
        <w:t>（三）</w:t>
      </w:r>
    </w:p>
    <w:p>
      <w:pPr>
        <w:widowControl/>
        <w:adjustRightInd w:val="0"/>
        <w:snapToGrid w:val="0"/>
        <w:spacing w:line="560" w:lineRule="exact"/>
        <w:ind w:firstLine="642" w:firstLineChars="200"/>
        <w:rPr>
          <w:rFonts w:ascii="黑体" w:hAnsi="黑体" w:eastAsia="黑体"/>
          <w:b/>
          <w:color w:val="000000"/>
          <w:kern w:val="0"/>
          <w:sz w:val="32"/>
          <w:szCs w:val="32"/>
          <w:lang w:bidi="en-US"/>
        </w:rPr>
      </w:pPr>
      <w:r>
        <w:rPr>
          <w:rFonts w:hint="eastAsia" w:ascii="黑体" w:hAnsi="黑体" w:eastAsia="黑体"/>
          <w:b/>
          <w:kern w:val="0"/>
          <w:sz w:val="32"/>
          <w:szCs w:val="32"/>
        </w:rPr>
        <w:t>六</w:t>
      </w:r>
      <w:r>
        <w:rPr>
          <w:rFonts w:hint="eastAsia" w:ascii="黑体" w:hAnsi="黑体" w:eastAsia="黑体"/>
          <w:b/>
          <w:color w:val="000000"/>
          <w:kern w:val="0"/>
          <w:sz w:val="32"/>
          <w:szCs w:val="32"/>
          <w:lang w:bidi="en-US"/>
        </w:rPr>
        <w:t>、本次债券发行、上市的合规性</w:t>
      </w:r>
    </w:p>
    <w:p>
      <w:pPr>
        <w:tabs>
          <w:tab w:val="left" w:pos="756"/>
        </w:tabs>
        <w:spacing w:line="560" w:lineRule="exact"/>
        <w:ind w:firstLine="642" w:firstLineChars="200"/>
        <w:textAlignment w:val="baseline"/>
        <w:outlineLvl w:val="1"/>
        <w:rPr>
          <w:rFonts w:ascii="仿宋_GB2312" w:hAnsi="仿宋" w:eastAsia="仿宋_GB2312"/>
          <w:b/>
          <w:sz w:val="32"/>
          <w:szCs w:val="32"/>
        </w:rPr>
      </w:pPr>
      <w:r>
        <w:rPr>
          <w:rFonts w:hint="eastAsia" w:ascii="仿宋_GB2312" w:hAnsi="仿宋" w:eastAsia="仿宋_GB2312"/>
          <w:b/>
          <w:sz w:val="32"/>
          <w:szCs w:val="32"/>
        </w:rPr>
        <w:t>（一）公开发行条件核查</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0"/>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pPr>
              <w:jc w:val="left"/>
              <w:rPr>
                <w:rFonts w:ascii="仿宋_GB2312" w:hAnsi="华文中宋" w:eastAsia="仿宋_GB2312"/>
                <w:b/>
                <w:szCs w:val="21"/>
              </w:rPr>
            </w:pPr>
            <w:r>
              <w:rPr>
                <w:rFonts w:hint="eastAsia" w:ascii="仿宋_GB2312" w:hAnsi="黑体" w:eastAsia="仿宋_GB2312"/>
                <w:b/>
                <w:szCs w:val="21"/>
              </w:rPr>
              <w:t>一、是否符合公司债券法定发行条件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1、具备健全且运行良好的组织机构。</w:t>
            </w:r>
          </w:p>
        </w:tc>
        <w:tc>
          <w:tcPr>
            <w:tcW w:w="114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jc w:val="left"/>
              <w:rPr>
                <w:rFonts w:ascii="仿宋_GB2312" w:hAnsi="黑体" w:eastAsia="仿宋_GB2312"/>
                <w:szCs w:val="21"/>
              </w:rPr>
            </w:pPr>
            <w:r>
              <w:rPr>
                <w:rFonts w:hint="eastAsia" w:ascii="仿宋_GB2312" w:hAnsi="华文中宋" w:eastAsia="仿宋_GB2312"/>
                <w:szCs w:val="21"/>
              </w:rPr>
              <w:t>2、是否符合最近三年平均可分配利润是否足以支付公司债券一年的利息的要求。</w:t>
            </w:r>
          </w:p>
        </w:tc>
        <w:tc>
          <w:tcPr>
            <w:tcW w:w="114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 xml:space="preserve">□是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3、最近三年实现的可分配利润持续为正。（如为企业债券需加上此条）</w:t>
            </w:r>
          </w:p>
        </w:tc>
        <w:tc>
          <w:tcPr>
            <w:tcW w:w="114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 xml:space="preserve">□是 </w:t>
            </w:r>
            <w:r>
              <w:rPr>
                <w:rFonts w:ascii="仿宋_GB2312" w:hAnsi="华文中宋" w:eastAsia="仿宋_GB2312"/>
                <w:szCs w:val="21"/>
              </w:rPr>
              <w:t xml:space="preserve"> </w:t>
            </w:r>
            <w:r>
              <w:rPr>
                <w:rFonts w:hint="eastAsia" w:ascii="仿宋_GB2312" w:hAnsi="华文中宋" w:eastAsia="仿宋_GB2312"/>
                <w:szCs w:val="21"/>
              </w:rPr>
              <w:t>□</w:t>
            </w:r>
            <w:r>
              <w:rPr>
                <w:rFonts w:ascii="仿宋_GB2312" w:hAnsi="华文中宋" w:eastAsia="仿宋_GB2312"/>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rPr>
                <w:szCs w:val="21"/>
              </w:rPr>
            </w:pPr>
            <w:r>
              <w:rPr>
                <w:rFonts w:hint="eastAsia" w:ascii="仿宋_GB2312" w:hAnsi="华文中宋" w:eastAsia="仿宋_GB2312"/>
                <w:szCs w:val="21"/>
              </w:rPr>
              <w:t>4、具有合理的资产负债结构和正常的现金流量。</w:t>
            </w:r>
          </w:p>
        </w:tc>
        <w:tc>
          <w:tcPr>
            <w:tcW w:w="1145" w:type="pct"/>
            <w:shd w:val="clear" w:color="auto" w:fill="auto"/>
          </w:tcPr>
          <w:p>
            <w:pPr>
              <w:rPr>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5、是否满足公开发行公司债券筹集的资金，必须按照公司债券募集办法所列资金用途使用，不得用于弥补亏损和非生产性支出。</w:t>
            </w:r>
          </w:p>
        </w:tc>
        <w:tc>
          <w:tcPr>
            <w:tcW w:w="1145" w:type="pct"/>
            <w:shd w:val="clear" w:color="auto" w:fill="auto"/>
            <w:vAlign w:val="center"/>
          </w:tcPr>
          <w:p>
            <w:pPr>
              <w:rPr>
                <w:rFonts w:ascii="仿宋_GB2312" w:hAnsi="黑体" w:eastAsia="仿宋_GB2312"/>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6、是否存在对已公开发行的公司债券或者其他债务有违约或者延迟支付本息的事实，仍处于继续状态的情形。</w:t>
            </w:r>
          </w:p>
        </w:tc>
        <w:tc>
          <w:tcPr>
            <w:tcW w:w="1145" w:type="pct"/>
            <w:shd w:val="clear" w:color="auto" w:fill="auto"/>
            <w:vAlign w:val="center"/>
          </w:tcPr>
          <w:p>
            <w:pPr>
              <w:rPr>
                <w:rFonts w:ascii="仿宋_GB2312" w:hAnsi="华文中宋" w:eastAsia="仿宋_GB2312"/>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7、是否存在违反《证券法》规定，改变公开发行公司债券所募资金的用途的情形。</w:t>
            </w:r>
          </w:p>
        </w:tc>
        <w:tc>
          <w:tcPr>
            <w:tcW w:w="114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8、最近三年财务会计报告是否均被出具无保留意见审计报告。</w:t>
            </w:r>
          </w:p>
        </w:tc>
        <w:tc>
          <w:tcPr>
            <w:tcW w:w="114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385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9、是否存在严重损害投资者合法权益和社会公共利益的其他情形。</w:t>
            </w:r>
          </w:p>
        </w:tc>
        <w:tc>
          <w:tcPr>
            <w:tcW w:w="114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shd w:val="clear" w:color="auto" w:fill="auto"/>
          </w:tcPr>
          <w:p>
            <w:pPr>
              <w:jc w:val="left"/>
              <w:rPr>
                <w:rFonts w:ascii="仿宋_GB2312" w:hAnsi="黑体" w:eastAsia="仿宋_GB2312"/>
                <w:b/>
                <w:szCs w:val="21"/>
              </w:rPr>
            </w:pPr>
            <w:r>
              <w:rPr>
                <w:rFonts w:hint="eastAsia" w:ascii="仿宋_GB2312" w:hAnsi="黑体" w:eastAsia="仿宋_GB2312"/>
                <w:b/>
                <w:szCs w:val="21"/>
              </w:rPr>
              <w:t>二、申请文件的有关情况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5" w:type="pct"/>
            <w:shd w:val="clear" w:color="auto" w:fill="auto"/>
            <w:vAlign w:val="center"/>
          </w:tcPr>
          <w:p>
            <w:pPr>
              <w:rPr>
                <w:rFonts w:ascii="仿宋_GB2312" w:hAnsi="华文中宋" w:eastAsia="仿宋_GB2312"/>
                <w:szCs w:val="21"/>
              </w:rPr>
            </w:pPr>
            <w:r>
              <w:rPr>
                <w:rFonts w:hint="eastAsia" w:ascii="仿宋_GB2312" w:hAnsi="华文中宋" w:eastAsia="仿宋_GB2312"/>
                <w:szCs w:val="21"/>
              </w:rPr>
              <w:t>1、申请文件是否符合24号准则等相关齐备性要求。</w:t>
            </w:r>
          </w:p>
        </w:tc>
        <w:tc>
          <w:tcPr>
            <w:tcW w:w="114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5" w:type="pct"/>
            <w:shd w:val="clear" w:color="auto" w:fill="auto"/>
            <w:vAlign w:val="center"/>
          </w:tcPr>
          <w:p>
            <w:pPr>
              <w:rPr>
                <w:rFonts w:ascii="仿宋_GB2312" w:hAnsi="华文中宋" w:eastAsia="仿宋_GB2312"/>
                <w:szCs w:val="21"/>
              </w:rPr>
            </w:pPr>
            <w:r>
              <w:rPr>
                <w:rFonts w:hint="eastAsia" w:ascii="仿宋_GB2312" w:hAnsi="华文中宋" w:eastAsia="仿宋_GB2312"/>
                <w:szCs w:val="21"/>
              </w:rPr>
              <w:t>2、申请文件是否符合《公司信用类债券信息披露管理办法》相关要求。</w:t>
            </w:r>
          </w:p>
        </w:tc>
        <w:tc>
          <w:tcPr>
            <w:tcW w:w="1145"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w:t>
            </w:r>
          </w:p>
        </w:tc>
      </w:tr>
    </w:tbl>
    <w:p>
      <w:pPr>
        <w:adjustRightInd w:val="0"/>
        <w:spacing w:line="560" w:lineRule="exact"/>
        <w:ind w:firstLine="642" w:firstLineChars="200"/>
        <w:outlineLvl w:val="1"/>
        <w:rPr>
          <w:rFonts w:ascii="仿宋_GB2312" w:hAnsi="黑体" w:eastAsia="仿宋_GB2312"/>
          <w:b/>
          <w:sz w:val="32"/>
          <w:szCs w:val="32"/>
        </w:rPr>
      </w:pPr>
      <w:r>
        <w:rPr>
          <w:rFonts w:hint="eastAsia" w:ascii="仿宋_GB2312" w:hAnsi="黑体" w:eastAsia="仿宋_GB2312"/>
          <w:b/>
          <w:sz w:val="32"/>
          <w:szCs w:val="32"/>
        </w:rPr>
        <w:t>（二）地方政府债务相关核查</w:t>
      </w:r>
    </w:p>
    <w:p>
      <w:pPr>
        <w:tabs>
          <w:tab w:val="left" w:pos="756"/>
        </w:tabs>
        <w:spacing w:line="560" w:lineRule="exact"/>
        <w:ind w:firstLine="640" w:firstLineChars="200"/>
        <w:textAlignment w:val="baseline"/>
        <w:rPr>
          <w:rFonts w:ascii="仿宋_GB2312" w:hAnsi="仿宋_GB2312" w:eastAsia="仿宋_GB2312"/>
          <w:sz w:val="32"/>
          <w:szCs w:val="32"/>
        </w:rPr>
      </w:pPr>
      <w:r>
        <w:rPr>
          <w:rFonts w:hint="eastAsia" w:ascii="仿宋_GB2312" w:hAnsi="仿宋_GB2312" w:eastAsia="仿宋_GB2312"/>
          <w:sz w:val="32"/>
          <w:szCs w:val="32"/>
        </w:rPr>
        <w:t>简要概括发行人关于地方政府债务相关承诺，结论性概括主承销商相关核查意见。</w:t>
      </w:r>
    </w:p>
    <w:p>
      <w:pPr>
        <w:tabs>
          <w:tab w:val="left" w:pos="756"/>
        </w:tabs>
        <w:spacing w:line="560" w:lineRule="exact"/>
        <w:ind w:firstLine="640" w:firstLineChars="200"/>
        <w:textAlignment w:val="baseline"/>
        <w:rPr>
          <w:rFonts w:ascii="仿宋_GB2312" w:hAnsi="仿宋_GB2312" w:eastAsia="仿宋_GB2312"/>
          <w:sz w:val="32"/>
          <w:szCs w:val="32"/>
        </w:rPr>
      </w:pPr>
      <w:r>
        <w:rPr>
          <w:rFonts w:hint="eastAsia" w:ascii="仿宋_GB2312" w:hAnsi="仿宋_GB2312" w:eastAsia="仿宋_GB2312"/>
          <w:sz w:val="32"/>
          <w:szCs w:val="32"/>
        </w:rPr>
        <w:t>如</w:t>
      </w:r>
      <w:r>
        <w:rPr>
          <w:rFonts w:ascii="仿宋_GB2312" w:hAnsi="仿宋_GB2312" w:eastAsia="仿宋_GB2312"/>
          <w:sz w:val="32"/>
          <w:szCs w:val="32"/>
        </w:rPr>
        <w:t>：经主承销商核查，发行人及本次债券符合地方政府性债务管理相关规定。发行人承诺本次债券不涉及新增地方政府债务，不用于偿还地方政府债务或违规用于公益性项目建设，并声明地方政府对本次债券不承担任何偿债责任。</w:t>
      </w:r>
    </w:p>
    <w:p>
      <w:pPr>
        <w:adjustRightInd w:val="0"/>
        <w:spacing w:line="560" w:lineRule="exact"/>
        <w:ind w:firstLine="642" w:firstLineChars="200"/>
        <w:outlineLvl w:val="1"/>
        <w:rPr>
          <w:rFonts w:ascii="仿宋_GB2312" w:hAnsi="黑体" w:eastAsia="仿宋_GB2312"/>
          <w:b/>
          <w:sz w:val="32"/>
          <w:szCs w:val="32"/>
        </w:rPr>
      </w:pPr>
      <w:r>
        <w:rPr>
          <w:rFonts w:hint="eastAsia" w:ascii="仿宋_GB2312" w:hAnsi="黑体" w:eastAsia="仿宋_GB2312"/>
          <w:b/>
          <w:sz w:val="32"/>
          <w:szCs w:val="32"/>
        </w:rPr>
        <w:t>（三）房地产企业专项核查</w:t>
      </w:r>
    </w:p>
    <w:p>
      <w:pPr>
        <w:pStyle w:val="22"/>
        <w:spacing w:line="560" w:lineRule="exact"/>
        <w:ind w:firstLine="640"/>
        <w:rPr>
          <w:sz w:val="32"/>
          <w:szCs w:val="32"/>
        </w:rPr>
      </w:pPr>
      <w:r>
        <w:rPr>
          <w:sz w:val="32"/>
          <w:szCs w:val="32"/>
        </w:rPr>
        <w:t>1.若发行人不从事任何房地产业务的，请明确：发行人不属于房地产行业，不从事房地产业务，不涉及房地产企业专项核查。</w:t>
      </w:r>
    </w:p>
    <w:p>
      <w:pPr>
        <w:pStyle w:val="22"/>
        <w:spacing w:line="560" w:lineRule="exact"/>
        <w:ind w:firstLine="640"/>
        <w:rPr>
          <w:sz w:val="32"/>
          <w:szCs w:val="32"/>
        </w:rPr>
      </w:pPr>
      <w:r>
        <w:rPr>
          <w:sz w:val="32"/>
          <w:szCs w:val="32"/>
        </w:rPr>
        <w:t>2.若发行人属于房地产行业的，请进行以下说明：</w:t>
      </w:r>
    </w:p>
    <w:p>
      <w:pPr>
        <w:pStyle w:val="22"/>
        <w:spacing w:line="560" w:lineRule="exact"/>
        <w:ind w:firstLine="640"/>
        <w:rPr>
          <w:sz w:val="32"/>
          <w:szCs w:val="32"/>
        </w:rPr>
      </w:pPr>
      <w:r>
        <w:rPr>
          <w:rFonts w:hint="eastAsia"/>
          <w:sz w:val="32"/>
          <w:szCs w:val="32"/>
        </w:rPr>
        <w:t>最近一年，发行人房地产业务收入占营业收入的</w:t>
      </w:r>
      <w:r>
        <w:rPr>
          <w:sz w:val="32"/>
          <w:szCs w:val="32"/>
        </w:rPr>
        <w:t>XX%，发行人行业分类为房地产业-住宅</w:t>
      </w:r>
      <w:r>
        <w:rPr>
          <w:rFonts w:hint="eastAsia"/>
          <w:sz w:val="32"/>
          <w:szCs w:val="32"/>
        </w:rPr>
        <w:t>地产</w:t>
      </w:r>
      <w:r>
        <w:rPr>
          <w:sz w:val="32"/>
          <w:szCs w:val="32"/>
        </w:rPr>
        <w:t>/商业地产/保障房地产</w:t>
      </w:r>
      <w:r>
        <w:rPr>
          <w:rFonts w:hint="eastAsia"/>
          <w:sz w:val="32"/>
          <w:szCs w:val="32"/>
        </w:rPr>
        <w:t>。根据《上海证券交易所关于试行房地产、产能过剩行业公司债券分类监管的函》的要求，核查情况如下：</w:t>
      </w:r>
    </w:p>
    <w:p>
      <w:pPr>
        <w:pStyle w:val="22"/>
        <w:spacing w:line="560" w:lineRule="exact"/>
        <w:ind w:firstLine="640"/>
        <w:rPr>
          <w:sz w:val="32"/>
          <w:szCs w:val="32"/>
        </w:rPr>
      </w:pPr>
      <w:r>
        <w:rPr>
          <w:rFonts w:hint="eastAsia"/>
          <w:sz w:val="32"/>
          <w:szCs w:val="32"/>
        </w:rPr>
        <w:t>（</w:t>
      </w:r>
      <w:r>
        <w:rPr>
          <w:sz w:val="32"/>
          <w:szCs w:val="32"/>
        </w:rPr>
        <w:t>1）基础范围（请说明发行人符合基础范围的依据）。</w:t>
      </w:r>
    </w:p>
    <w:p>
      <w:pPr>
        <w:pStyle w:val="22"/>
        <w:spacing w:line="560" w:lineRule="exact"/>
        <w:ind w:firstLine="640"/>
        <w:rPr>
          <w:sz w:val="32"/>
          <w:szCs w:val="32"/>
        </w:rPr>
      </w:pPr>
      <w:r>
        <w:rPr>
          <w:rFonts w:hint="eastAsia"/>
          <w:sz w:val="32"/>
          <w:szCs w:val="32"/>
        </w:rPr>
        <w:t>（</w:t>
      </w:r>
      <w:r>
        <w:rPr>
          <w:sz w:val="32"/>
          <w:szCs w:val="32"/>
        </w:rPr>
        <w:t>2）综合指标评价（以表格形式</w:t>
      </w:r>
      <w:r>
        <w:rPr>
          <w:rFonts w:hint="eastAsia"/>
          <w:sz w:val="32"/>
          <w:szCs w:val="32"/>
        </w:rPr>
        <w:t>列示综合指标评价结果）。</w:t>
      </w:r>
    </w:p>
    <w:p>
      <w:pPr>
        <w:pStyle w:val="22"/>
        <w:spacing w:line="560" w:lineRule="exact"/>
        <w:ind w:firstLine="640"/>
        <w:rPr>
          <w:sz w:val="32"/>
          <w:szCs w:val="32"/>
        </w:rPr>
      </w:pPr>
      <w:r>
        <w:rPr>
          <w:rFonts w:hint="eastAsia"/>
          <w:sz w:val="32"/>
          <w:szCs w:val="32"/>
        </w:rPr>
        <w:t>经主承销商核查，发行人属于正常类</w:t>
      </w:r>
      <w:r>
        <w:rPr>
          <w:sz w:val="32"/>
          <w:szCs w:val="32"/>
        </w:rPr>
        <w:t>/关注类/风险类房地产企业。</w:t>
      </w:r>
    </w:p>
    <w:p>
      <w:pPr>
        <w:pStyle w:val="22"/>
        <w:spacing w:line="560" w:lineRule="exact"/>
        <w:ind w:firstLine="640"/>
        <w:rPr>
          <w:sz w:val="32"/>
          <w:szCs w:val="32"/>
        </w:rPr>
      </w:pPr>
      <w:r>
        <w:rPr>
          <w:rFonts w:hint="eastAsia"/>
          <w:sz w:val="32"/>
          <w:szCs w:val="32"/>
        </w:rPr>
        <w:t>（</w:t>
      </w:r>
      <w:r>
        <w:rPr>
          <w:sz w:val="32"/>
          <w:szCs w:val="32"/>
        </w:rPr>
        <w:t>3）若发行人属于关注类/风险类房地产企业，请说明相关增信、信息披露和偿债安排等内容。</w:t>
      </w:r>
    </w:p>
    <w:p>
      <w:pPr>
        <w:pStyle w:val="22"/>
        <w:spacing w:line="560" w:lineRule="exact"/>
        <w:ind w:firstLine="640"/>
        <w:rPr>
          <w:sz w:val="32"/>
          <w:szCs w:val="32"/>
        </w:rPr>
      </w:pPr>
      <w:r>
        <w:rPr>
          <w:rFonts w:hint="eastAsia"/>
          <w:sz w:val="32"/>
          <w:szCs w:val="32"/>
        </w:rPr>
        <w:t>发行人已于募集说明书中承诺本次债券募集资金不用于购置土地。</w:t>
      </w:r>
    </w:p>
    <w:p>
      <w:pPr>
        <w:pStyle w:val="22"/>
        <w:spacing w:line="560" w:lineRule="exact"/>
        <w:ind w:firstLine="640"/>
        <w:rPr>
          <w:sz w:val="32"/>
          <w:szCs w:val="32"/>
        </w:rPr>
      </w:pPr>
      <w:r>
        <w:rPr>
          <w:sz w:val="32"/>
          <w:szCs w:val="32"/>
        </w:rPr>
        <w:t>3.发行人不属于房地产行业，但报告期内有房地产业务收入的。请明确下列事项：</w:t>
      </w:r>
    </w:p>
    <w:p>
      <w:pPr>
        <w:pStyle w:val="22"/>
        <w:spacing w:line="560" w:lineRule="exact"/>
        <w:ind w:firstLine="640"/>
        <w:rPr>
          <w:b/>
          <w:sz w:val="32"/>
          <w:szCs w:val="32"/>
        </w:rPr>
      </w:pPr>
      <w:r>
        <w:rPr>
          <w:rFonts w:hint="eastAsia"/>
          <w:sz w:val="32"/>
          <w:szCs w:val="32"/>
        </w:rPr>
        <w:t>发行人不属于房地产行业，但报告期内有房地产业务收入。最近一年，发行人房地产业务收入</w:t>
      </w:r>
      <w:r>
        <w:rPr>
          <w:sz w:val="32"/>
          <w:szCs w:val="32"/>
        </w:rPr>
        <w:t>XX亿元，占当年度营业收入的XX%。</w:t>
      </w:r>
    </w:p>
    <w:p>
      <w:pPr>
        <w:pStyle w:val="22"/>
        <w:spacing w:line="560" w:lineRule="exact"/>
        <w:ind w:firstLine="640"/>
        <w:rPr>
          <w:sz w:val="32"/>
          <w:szCs w:val="32"/>
        </w:rPr>
      </w:pPr>
      <w:r>
        <w:rPr>
          <w:rFonts w:hint="eastAsia"/>
          <w:sz w:val="32"/>
          <w:szCs w:val="32"/>
        </w:rPr>
        <w:t>经主承销商和发行人律师核查，报告期内，发行人不存在以下情形：</w:t>
      </w:r>
    </w:p>
    <w:p>
      <w:pPr>
        <w:pStyle w:val="22"/>
        <w:spacing w:line="560" w:lineRule="exact"/>
        <w:ind w:firstLine="640"/>
        <w:rPr>
          <w:sz w:val="32"/>
          <w:szCs w:val="32"/>
        </w:rPr>
      </w:pPr>
      <w:r>
        <w:rPr>
          <w:rFonts w:hint="eastAsia"/>
          <w:sz w:val="32"/>
          <w:szCs w:val="32"/>
        </w:rPr>
        <w:t>（</w:t>
      </w:r>
      <w:r>
        <w:rPr>
          <w:sz w:val="32"/>
          <w:szCs w:val="32"/>
        </w:rPr>
        <w:t>1）违反“国办发〔2013〕17号”规定的重大违法违规行为，或经自然资源部查处且尚未按规定整改；</w:t>
      </w:r>
    </w:p>
    <w:p>
      <w:pPr>
        <w:pStyle w:val="22"/>
        <w:spacing w:line="560" w:lineRule="exact"/>
        <w:ind w:firstLine="640"/>
        <w:rPr>
          <w:sz w:val="32"/>
          <w:szCs w:val="32"/>
        </w:rPr>
      </w:pPr>
      <w:r>
        <w:rPr>
          <w:rFonts w:hint="eastAsia"/>
          <w:sz w:val="32"/>
          <w:szCs w:val="32"/>
        </w:rPr>
        <w:t>（</w:t>
      </w:r>
      <w:r>
        <w:rPr>
          <w:sz w:val="32"/>
          <w:szCs w:val="32"/>
        </w:rPr>
        <w:t>2）房地产市场调控期间，在重点调控的热点城市竞拍“地王”，哄抬地价等行为；</w:t>
      </w:r>
    </w:p>
    <w:p>
      <w:pPr>
        <w:pStyle w:val="22"/>
        <w:spacing w:line="560" w:lineRule="exact"/>
        <w:ind w:firstLine="640"/>
        <w:rPr>
          <w:sz w:val="32"/>
          <w:szCs w:val="32"/>
        </w:rPr>
      </w:pPr>
      <w:r>
        <w:rPr>
          <w:rFonts w:hint="eastAsia"/>
          <w:sz w:val="32"/>
          <w:szCs w:val="32"/>
        </w:rPr>
        <w:t>（</w:t>
      </w:r>
      <w:r>
        <w:rPr>
          <w:sz w:val="32"/>
          <w:szCs w:val="32"/>
        </w:rPr>
        <w:t>3）因扰乱房地产市场秩序被住建部、自然资源部等主管部门查处的情形。</w:t>
      </w:r>
    </w:p>
    <w:p>
      <w:pPr>
        <w:pStyle w:val="22"/>
        <w:spacing w:line="560" w:lineRule="exact"/>
        <w:ind w:firstLine="640"/>
        <w:rPr>
          <w:sz w:val="32"/>
          <w:szCs w:val="32"/>
        </w:rPr>
      </w:pPr>
      <w:r>
        <w:rPr>
          <w:rFonts w:hint="eastAsia"/>
          <w:sz w:val="32"/>
          <w:szCs w:val="32"/>
        </w:rPr>
        <w:t>发行人已于募集说明书中承诺本次债券募集资金不用于住宅地产业务。</w:t>
      </w:r>
    </w:p>
    <w:p>
      <w:pPr>
        <w:tabs>
          <w:tab w:val="left" w:pos="756"/>
        </w:tabs>
        <w:spacing w:line="560" w:lineRule="exact"/>
        <w:ind w:firstLine="642" w:firstLineChars="200"/>
        <w:textAlignment w:val="baseline"/>
        <w:outlineLvl w:val="1"/>
        <w:rPr>
          <w:rFonts w:ascii="仿宋_GB2312" w:hAnsi="Times New Roman" w:eastAsia="仿宋_GB2312" w:cs="Times New Roman"/>
          <w:b/>
          <w:bCs/>
          <w:color w:val="000000"/>
          <w:sz w:val="32"/>
          <w:szCs w:val="32"/>
        </w:rPr>
      </w:pPr>
      <w:r>
        <w:rPr>
          <w:rFonts w:hint="eastAsia" w:ascii="仿宋_GB2312" w:hAnsi="Times New Roman" w:eastAsia="仿宋_GB2312" w:cs="Times New Roman"/>
          <w:b/>
          <w:bCs/>
          <w:color w:val="000000"/>
          <w:sz w:val="32"/>
          <w:szCs w:val="32"/>
        </w:rPr>
        <w:t>（四）大额资金拆借或非经营性占用核查</w:t>
      </w:r>
    </w:p>
    <w:p>
      <w:pPr>
        <w:spacing w:line="560" w:lineRule="exact"/>
        <w:ind w:firstLine="640" w:firstLineChars="200"/>
        <w:rPr>
          <w:sz w:val="32"/>
          <w:szCs w:val="32"/>
        </w:rPr>
      </w:pPr>
      <w:r>
        <w:rPr>
          <w:rFonts w:hint="eastAsia" w:ascii="仿宋_GB2312" w:eastAsia="仿宋_GB2312"/>
          <w:sz w:val="32"/>
          <w:szCs w:val="32"/>
        </w:rPr>
        <w:t>请结合</w:t>
      </w:r>
      <w:r>
        <w:rPr>
          <w:rFonts w:ascii="仿宋_GB2312" w:eastAsia="仿宋_GB2312"/>
          <w:sz w:val="32"/>
          <w:szCs w:val="32"/>
        </w:rPr>
        <w:t>主承销商核查意见</w:t>
      </w:r>
      <w:r>
        <w:rPr>
          <w:rFonts w:hint="eastAsia" w:ascii="仿宋_GB2312" w:eastAsia="仿宋_GB2312"/>
          <w:sz w:val="32"/>
          <w:szCs w:val="32"/>
        </w:rPr>
        <w:t>在此处说明大额资金拆借或非经营性占用核查相关情况</w:t>
      </w:r>
      <w:r>
        <w:rPr>
          <w:rFonts w:hint="eastAsia"/>
          <w:sz w:val="32"/>
          <w:szCs w:val="32"/>
        </w:rPr>
        <w:t>。</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综上所述，本次债券符合《证券法》《公司债券发行与交易管理办法》《上海证券交易所公司债券上市规则》等规定的发行、上市条件及信息披露要求。</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特此申请，请予以审核。</w:t>
      </w:r>
    </w:p>
    <w:p>
      <w:pPr>
        <w:widowControl/>
        <w:adjustRightInd w:val="0"/>
        <w:snapToGrid w:val="0"/>
        <w:spacing w:beforeLines="50" w:afterLines="50" w:line="560" w:lineRule="exact"/>
        <w:ind w:firstLine="640" w:firstLineChars="200"/>
        <w:jc w:val="right"/>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 xml:space="preserve">  发行人（公章）</w:t>
      </w:r>
    </w:p>
    <w:p>
      <w:pPr>
        <w:widowControl/>
        <w:adjustRightInd w:val="0"/>
        <w:snapToGrid w:val="0"/>
        <w:spacing w:beforeLines="50" w:afterLines="50" w:line="560" w:lineRule="exact"/>
        <w:ind w:firstLine="640" w:firstLineChars="200"/>
        <w:jc w:val="right"/>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 xml:space="preserve">                                   年   月   日 </w:t>
      </w:r>
    </w:p>
    <w:p>
      <w:pPr>
        <w:widowControl/>
        <w:jc w:val="left"/>
        <w:rPr>
          <w:rFonts w:ascii="仿宋_GB2312" w:eastAsia="仿宋_GB2312"/>
          <w:sz w:val="30"/>
          <w:szCs w:val="30"/>
        </w:rPr>
      </w:pPr>
      <w:r>
        <w:rPr>
          <w:rFonts w:ascii="仿宋_GB2312" w:eastAsia="仿宋_GB2312"/>
          <w:sz w:val="30"/>
          <w:szCs w:val="30"/>
        </w:rPr>
        <w:br w:type="page"/>
      </w:r>
    </w:p>
    <w:p>
      <w:pPr>
        <w:adjustRightInd w:val="0"/>
        <w:snapToGrid w:val="0"/>
        <w:spacing w:line="560" w:lineRule="exact"/>
        <w:jc w:val="left"/>
        <w:outlineLvl w:val="0"/>
        <w:rPr>
          <w:rFonts w:ascii="黑体" w:hAnsi="黑体" w:eastAsia="黑体"/>
          <w:bCs/>
          <w:color w:val="000000"/>
          <w:kern w:val="0"/>
          <w:sz w:val="32"/>
          <w:szCs w:val="30"/>
          <w:lang w:bidi="en-US"/>
        </w:rPr>
      </w:pPr>
      <w:r>
        <w:rPr>
          <w:rFonts w:hint="eastAsia" w:ascii="黑体" w:hAnsi="黑体" w:eastAsia="黑体"/>
          <w:bCs/>
          <w:color w:val="000000"/>
          <w:kern w:val="0"/>
          <w:sz w:val="32"/>
          <w:szCs w:val="30"/>
          <w:lang w:bidi="en-US"/>
        </w:rPr>
        <w:t>附件3</w:t>
      </w:r>
      <w:r>
        <w:rPr>
          <w:rFonts w:ascii="黑体" w:hAnsi="黑体" w:eastAsia="黑体"/>
          <w:bCs/>
          <w:color w:val="000000"/>
          <w:kern w:val="0"/>
          <w:sz w:val="32"/>
          <w:szCs w:val="30"/>
          <w:lang w:bidi="en-US"/>
        </w:rPr>
        <w:t xml:space="preserve"> </w:t>
      </w:r>
    </w:p>
    <w:p>
      <w:pPr>
        <w:adjustRightInd w:val="0"/>
        <w:snapToGrid w:val="0"/>
        <w:spacing w:line="560" w:lineRule="exact"/>
        <w:jc w:val="left"/>
        <w:outlineLvl w:val="0"/>
        <w:rPr>
          <w:rFonts w:ascii="Times New Roman" w:hAnsi="Times New Roman" w:eastAsia="仿宋_GB2312"/>
          <w:b/>
          <w:bCs/>
          <w:color w:val="000000"/>
          <w:kern w:val="0"/>
          <w:sz w:val="32"/>
          <w:szCs w:val="30"/>
          <w:lang w:bidi="en-US"/>
        </w:rPr>
      </w:pPr>
    </w:p>
    <w:p>
      <w:pPr>
        <w:spacing w:line="560" w:lineRule="exact"/>
        <w:jc w:val="center"/>
        <w:rPr>
          <w:rFonts w:ascii="仿宋_GB2312" w:eastAsia="仿宋_GB2312"/>
          <w:b/>
          <w:bCs/>
          <w:kern w:val="0"/>
          <w:sz w:val="32"/>
          <w:szCs w:val="32"/>
        </w:rPr>
      </w:pPr>
      <w:r>
        <w:rPr>
          <w:rFonts w:ascii="仿宋_GB2312" w:eastAsia="仿宋_GB2312"/>
          <w:b/>
          <w:bCs/>
          <w:kern w:val="0"/>
          <w:sz w:val="32"/>
          <w:szCs w:val="32"/>
        </w:rPr>
        <w:t>XXX</w:t>
      </w:r>
      <w:r>
        <w:rPr>
          <w:rFonts w:hint="eastAsia" w:ascii="仿宋_GB2312" w:eastAsia="仿宋_GB2312"/>
          <w:b/>
          <w:bCs/>
          <w:kern w:val="0"/>
          <w:sz w:val="32"/>
          <w:szCs w:val="32"/>
        </w:rPr>
        <w:t>公司文件</w:t>
      </w:r>
    </w:p>
    <w:p>
      <w:pPr>
        <w:ind w:firstLine="482"/>
        <w:jc w:val="right"/>
        <w:rPr>
          <w:rFonts w:ascii="仿宋_GB2312" w:eastAsia="仿宋_GB2312"/>
          <w:b/>
          <w:bCs/>
          <w:kern w:val="0"/>
          <w:sz w:val="28"/>
          <w:szCs w:val="28"/>
        </w:rPr>
      </w:pPr>
      <w:r>
        <w:rPr>
          <w:rFonts w:ascii="仿宋_GB2312" w:eastAsia="仿宋_GB2312"/>
          <w:b/>
          <w:bCs/>
          <w:kern w:val="0"/>
          <w:sz w:val="28"/>
          <w:szCs w:val="28"/>
        </w:rPr>
        <w:t>XXX[20XX]XX</w:t>
      </w:r>
      <w:r>
        <w:rPr>
          <w:rFonts w:hint="eastAsia" w:ascii="仿宋_GB2312" w:eastAsia="仿宋_GB2312"/>
          <w:b/>
          <w:bCs/>
          <w:kern w:val="0"/>
          <w:sz w:val="28"/>
          <w:szCs w:val="28"/>
        </w:rPr>
        <w:t>号</w:t>
      </w:r>
    </w:p>
    <w:p>
      <w:pPr>
        <w:spacing w:before="120" w:after="120"/>
        <w:ind w:firstLine="200"/>
        <w:rPr>
          <w:rFonts w:ascii="Times New Roman" w:eastAsia="仿宋_GB2312"/>
          <w:sz w:val="24"/>
        </w:rPr>
      </w:pPr>
      <w:r>
        <w:rPr>
          <w:rFonts w:ascii="Times New Roman" w:eastAsia="仿宋_GB2312"/>
          <w:sz w:val="24"/>
        </w:rPr>
        <w:t>_________________________________________________________________</w:t>
      </w:r>
    </w:p>
    <w:p>
      <w:pPr>
        <w:widowControl/>
        <w:spacing w:line="560" w:lineRule="exact"/>
        <w:jc w:val="center"/>
        <w:rPr>
          <w:rFonts w:ascii="方正大标宋简体" w:hAnsi="黑体" w:eastAsia="方正大标宋简体"/>
          <w:sz w:val="42"/>
          <w:szCs w:val="42"/>
        </w:rPr>
      </w:pPr>
    </w:p>
    <w:p>
      <w:pPr>
        <w:adjustRightInd w:val="0"/>
        <w:snapToGrid w:val="0"/>
        <w:spacing w:line="560" w:lineRule="exact"/>
        <w:jc w:val="center"/>
        <w:rPr>
          <w:rFonts w:ascii="方正大标宋简体" w:hAnsi="方正大标宋简体" w:eastAsia="方正大标宋简体"/>
          <w:sz w:val="44"/>
          <w:szCs w:val="44"/>
        </w:rPr>
      </w:pPr>
      <w:r>
        <w:rPr>
          <w:rFonts w:ascii="方正大标宋简体" w:hAnsi="方正大标宋简体" w:eastAsia="方正大标宋简体"/>
          <w:sz w:val="44"/>
          <w:szCs w:val="44"/>
        </w:rPr>
        <w:t>XXX公司关于非公开发行公司债券</w:t>
      </w:r>
    </w:p>
    <w:p>
      <w:pPr>
        <w:adjustRightInd w:val="0"/>
        <w:snapToGrid w:val="0"/>
        <w:spacing w:line="560" w:lineRule="exact"/>
        <w:jc w:val="center"/>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挂牌转让的申请</w:t>
      </w:r>
    </w:p>
    <w:p>
      <w:pPr>
        <w:widowControl/>
        <w:spacing w:line="560" w:lineRule="exact"/>
        <w:rPr>
          <w:rFonts w:ascii="仿宋_GB2312" w:eastAsia="仿宋_GB2312"/>
          <w:kern w:val="0"/>
          <w:sz w:val="30"/>
          <w:lang w:bidi="en-US"/>
        </w:rPr>
      </w:pPr>
    </w:p>
    <w:p>
      <w:pPr>
        <w:widowControl/>
        <w:spacing w:line="560" w:lineRule="exact"/>
        <w:rPr>
          <w:rFonts w:ascii="仿宋_GB2312" w:eastAsia="仿宋_GB2312"/>
          <w:kern w:val="0"/>
          <w:sz w:val="32"/>
          <w:szCs w:val="32"/>
          <w:lang w:bidi="en-US"/>
        </w:rPr>
      </w:pPr>
      <w:r>
        <w:rPr>
          <w:rFonts w:hint="eastAsia" w:ascii="仿宋_GB2312" w:eastAsia="仿宋_GB2312"/>
          <w:kern w:val="0"/>
          <w:sz w:val="32"/>
          <w:szCs w:val="32"/>
          <w:lang w:bidi="en-US"/>
        </w:rPr>
        <w:t>上海证券交易所：</w:t>
      </w:r>
    </w:p>
    <w:p>
      <w:pPr>
        <w:widowControl/>
        <w:spacing w:line="560" w:lineRule="exact"/>
        <w:ind w:firstLine="640" w:firstLineChars="200"/>
        <w:rPr>
          <w:rFonts w:ascii="仿宋_GB2312" w:eastAsia="仿宋_GB2312"/>
          <w:kern w:val="0"/>
          <w:sz w:val="32"/>
          <w:szCs w:val="32"/>
          <w:lang w:bidi="en-US"/>
        </w:rPr>
      </w:pPr>
      <w:r>
        <w:rPr>
          <w:rFonts w:hint="eastAsia" w:ascii="仿宋_GB2312" w:eastAsia="仿宋_GB2312"/>
          <w:kern w:val="0"/>
          <w:sz w:val="32"/>
          <w:szCs w:val="32"/>
          <w:lang w:bidi="en-US"/>
        </w:rPr>
        <w:t>根据《中华人民共和国公司法》（以下简称《公司法》）、《中华人民共和国证券法》（以下简称《证券法》）、《公司债券发行与交易管理办法》（以下简称《管理办法》）等法律法规的规定，本公司拟向上海证券交易所申请非公开发行规模不超过人民币</w:t>
      </w:r>
      <w:r>
        <w:rPr>
          <w:rFonts w:ascii="仿宋_GB2312" w:eastAsia="仿宋_GB2312"/>
          <w:kern w:val="0"/>
          <w:sz w:val="32"/>
          <w:szCs w:val="32"/>
          <w:lang w:bidi="en-US"/>
        </w:rPr>
        <w:t>XX亿元的公司债券（以下简称本次债券），首期发行XX亿元（如有，以下简称本期债券），并申请在贵所挂牌转让。现将本次债券挂牌转让的有关情况报告如下：</w:t>
      </w:r>
    </w:p>
    <w:p>
      <w:pPr>
        <w:widowControl/>
        <w:spacing w:line="560" w:lineRule="exact"/>
        <w:ind w:firstLine="642" w:firstLineChars="200"/>
        <w:rPr>
          <w:rFonts w:ascii="黑体" w:hAnsi="黑体" w:eastAsia="黑体"/>
          <w:b/>
          <w:kern w:val="0"/>
          <w:sz w:val="32"/>
          <w:szCs w:val="32"/>
          <w:lang w:bidi="en-US"/>
        </w:rPr>
      </w:pPr>
      <w:r>
        <w:rPr>
          <w:rFonts w:hint="eastAsia" w:ascii="黑体" w:hAnsi="黑体" w:eastAsia="黑体"/>
          <w:b/>
          <w:kern w:val="0"/>
          <w:sz w:val="32"/>
          <w:szCs w:val="32"/>
          <w:lang w:bidi="en-US"/>
        </w:rPr>
        <w:t>一、发行人概况</w:t>
      </w:r>
    </w:p>
    <w:p>
      <w:pPr>
        <w:tabs>
          <w:tab w:val="left" w:pos="756"/>
        </w:tabs>
        <w:spacing w:line="560" w:lineRule="exact"/>
        <w:ind w:firstLine="642" w:firstLineChars="200"/>
        <w:textAlignment w:val="baseline"/>
        <w:rPr>
          <w:rFonts w:ascii="仿宋_GB2312" w:hAnsi="仿宋_GB2312" w:eastAsia="仿宋_GB2312"/>
          <w:b/>
          <w:sz w:val="32"/>
          <w:szCs w:val="32"/>
        </w:rPr>
      </w:pPr>
      <w:r>
        <w:rPr>
          <w:rFonts w:hint="eastAsia" w:ascii="仿宋_GB2312" w:hAnsi="仿宋_GB2312" w:eastAsia="仿宋_GB2312"/>
          <w:b/>
          <w:sz w:val="32"/>
          <w:szCs w:val="32"/>
        </w:rPr>
        <w:t>（一）发行人基本情况</w:t>
      </w: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0"/>
        <w:gridCol w:w="6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238" w:type="pct"/>
          </w:tcPr>
          <w:p>
            <w:pPr>
              <w:adjustRightInd w:val="0"/>
              <w:jc w:val="center"/>
              <w:rPr>
                <w:rFonts w:ascii="仿宋_GB2312" w:hAnsi="Times New Roman" w:eastAsia="仿宋_GB2312"/>
                <w:b/>
                <w:szCs w:val="21"/>
              </w:rPr>
            </w:pPr>
            <w:r>
              <w:rPr>
                <w:rFonts w:hint="eastAsia" w:ascii="仿宋_GB2312" w:hAnsi="Times New Roman" w:eastAsia="仿宋_GB2312"/>
                <w:b/>
                <w:szCs w:val="21"/>
              </w:rPr>
              <w:t>中文名称</w:t>
            </w:r>
          </w:p>
        </w:tc>
        <w:tc>
          <w:tcPr>
            <w:tcW w:w="3762" w:type="pct"/>
          </w:tcPr>
          <w:p>
            <w:pPr>
              <w:adjustRightInd w:val="0"/>
              <w:rPr>
                <w:rFonts w:ascii="仿宋_GB2312"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238" w:type="pct"/>
          </w:tcPr>
          <w:p>
            <w:pPr>
              <w:adjustRightInd w:val="0"/>
              <w:jc w:val="center"/>
              <w:rPr>
                <w:rFonts w:ascii="仿宋_GB2312" w:hAnsi="Times New Roman" w:eastAsia="仿宋_GB2312"/>
                <w:b/>
                <w:szCs w:val="21"/>
              </w:rPr>
            </w:pPr>
            <w:r>
              <w:rPr>
                <w:rFonts w:hint="eastAsia" w:ascii="仿宋_GB2312" w:hAnsi="Times New Roman" w:eastAsia="仿宋_GB2312"/>
                <w:b/>
                <w:szCs w:val="21"/>
              </w:rPr>
              <w:t>法定代表人</w:t>
            </w:r>
          </w:p>
        </w:tc>
        <w:tc>
          <w:tcPr>
            <w:tcW w:w="3762" w:type="pct"/>
          </w:tcPr>
          <w:p>
            <w:pPr>
              <w:adjustRightInd w:val="0"/>
              <w:rPr>
                <w:rFonts w:ascii="仿宋_GB2312"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238" w:type="pct"/>
          </w:tcPr>
          <w:p>
            <w:pPr>
              <w:adjustRightInd w:val="0"/>
              <w:jc w:val="center"/>
              <w:rPr>
                <w:rFonts w:ascii="仿宋_GB2312" w:hAnsi="Times New Roman" w:eastAsia="仿宋_GB2312"/>
                <w:b/>
                <w:szCs w:val="21"/>
              </w:rPr>
            </w:pPr>
            <w:r>
              <w:rPr>
                <w:rFonts w:hint="eastAsia" w:ascii="仿宋_GB2312" w:hAnsi="Times New Roman" w:eastAsia="仿宋_GB2312"/>
                <w:b/>
                <w:szCs w:val="21"/>
              </w:rPr>
              <w:t>注册资本</w:t>
            </w:r>
          </w:p>
        </w:tc>
        <w:tc>
          <w:tcPr>
            <w:tcW w:w="3762" w:type="pct"/>
          </w:tcPr>
          <w:p>
            <w:pPr>
              <w:adjustRightInd w:val="0"/>
              <w:rPr>
                <w:rFonts w:ascii="仿宋_GB2312"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238" w:type="pct"/>
          </w:tcPr>
          <w:p>
            <w:pPr>
              <w:adjustRightInd w:val="0"/>
              <w:jc w:val="center"/>
              <w:rPr>
                <w:rFonts w:ascii="仿宋_GB2312" w:hAnsi="Times New Roman" w:eastAsia="仿宋_GB2312"/>
                <w:b/>
                <w:szCs w:val="21"/>
              </w:rPr>
            </w:pPr>
            <w:r>
              <w:rPr>
                <w:rFonts w:hint="eastAsia" w:ascii="仿宋_GB2312" w:hAnsi="Times New Roman" w:eastAsia="仿宋_GB2312"/>
                <w:b/>
                <w:szCs w:val="21"/>
              </w:rPr>
              <w:t>成立日期</w:t>
            </w:r>
          </w:p>
        </w:tc>
        <w:tc>
          <w:tcPr>
            <w:tcW w:w="3762" w:type="pct"/>
          </w:tcPr>
          <w:p>
            <w:pPr>
              <w:adjustRightInd w:val="0"/>
              <w:rPr>
                <w:rFonts w:ascii="仿宋_GB2312"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238" w:type="pct"/>
            <w:vAlign w:val="center"/>
          </w:tcPr>
          <w:p>
            <w:pPr>
              <w:adjustRightInd w:val="0"/>
              <w:jc w:val="center"/>
              <w:rPr>
                <w:rFonts w:ascii="仿宋_GB2312" w:hAnsi="Times New Roman" w:eastAsia="仿宋_GB2312"/>
                <w:b/>
                <w:szCs w:val="21"/>
              </w:rPr>
            </w:pPr>
            <w:r>
              <w:rPr>
                <w:rFonts w:hint="eastAsia" w:ascii="仿宋_GB2312" w:hAnsi="Times New Roman" w:eastAsia="仿宋_GB2312"/>
                <w:b/>
                <w:szCs w:val="21"/>
              </w:rPr>
              <w:t>住所</w:t>
            </w:r>
          </w:p>
        </w:tc>
        <w:tc>
          <w:tcPr>
            <w:tcW w:w="3762" w:type="pct"/>
            <w:vAlign w:val="center"/>
          </w:tcPr>
          <w:p>
            <w:pPr>
              <w:autoSpaceDE w:val="0"/>
              <w:autoSpaceDN w:val="0"/>
              <w:rPr>
                <w:rFonts w:ascii="仿宋_GB2312" w:eastAsia="仿宋_GB2312"/>
                <w:kern w:val="0"/>
                <w:szCs w:val="21"/>
              </w:rPr>
            </w:pPr>
            <w:r>
              <w:rPr>
                <w:rFonts w:hint="eastAsia" w:ascii="仿宋_GB2312" w:eastAsia="仿宋_GB2312"/>
                <w:kern w:val="0"/>
                <w:szCs w:val="21"/>
              </w:rPr>
              <w:t>请自所属省份起完整填列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238" w:type="pct"/>
          </w:tcPr>
          <w:p>
            <w:pPr>
              <w:adjustRightInd w:val="0"/>
              <w:jc w:val="center"/>
              <w:rPr>
                <w:rFonts w:ascii="仿宋_GB2312" w:hAnsi="Times New Roman" w:eastAsia="仿宋_GB2312"/>
                <w:b/>
                <w:szCs w:val="21"/>
              </w:rPr>
            </w:pPr>
            <w:r>
              <w:rPr>
                <w:rFonts w:hint="eastAsia" w:ascii="仿宋_GB2312" w:hAnsi="Times New Roman" w:eastAsia="仿宋_GB2312"/>
                <w:b/>
                <w:szCs w:val="21"/>
              </w:rPr>
              <w:t>所属行业</w:t>
            </w:r>
          </w:p>
        </w:tc>
        <w:tc>
          <w:tcPr>
            <w:tcW w:w="3762" w:type="pct"/>
          </w:tcPr>
          <w:p>
            <w:pPr>
              <w:overflowPunct w:val="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238" w:type="pct"/>
          </w:tcPr>
          <w:p>
            <w:pPr>
              <w:adjustRightInd w:val="0"/>
              <w:jc w:val="center"/>
              <w:rPr>
                <w:rFonts w:ascii="仿宋_GB2312" w:hAnsi="Times New Roman" w:eastAsia="仿宋_GB2312"/>
                <w:b/>
                <w:szCs w:val="21"/>
              </w:rPr>
            </w:pPr>
            <w:r>
              <w:rPr>
                <w:rFonts w:hint="eastAsia" w:ascii="仿宋_GB2312" w:hAnsi="Times New Roman" w:eastAsia="仿宋_GB2312"/>
                <w:b/>
                <w:szCs w:val="21"/>
              </w:rPr>
              <w:t>实际控制人</w:t>
            </w:r>
          </w:p>
        </w:tc>
        <w:tc>
          <w:tcPr>
            <w:tcW w:w="3762" w:type="pct"/>
          </w:tcPr>
          <w:p>
            <w:pPr>
              <w:overflowPunct w:val="0"/>
              <w:rPr>
                <w:rFonts w:ascii="仿宋_GB2312" w:hAnsi="Times New Roman" w:eastAsia="仿宋_GB2312"/>
                <w:szCs w:val="21"/>
              </w:rPr>
            </w:pPr>
          </w:p>
        </w:tc>
      </w:tr>
    </w:tbl>
    <w:p>
      <w:pPr>
        <w:spacing w:line="560" w:lineRule="exact"/>
        <w:ind w:firstLine="640" w:firstLineChars="200"/>
        <w:rPr>
          <w:rFonts w:ascii="仿宋_GB2312" w:eastAsia="仿宋_GB2312"/>
          <w:kern w:val="0"/>
          <w:sz w:val="32"/>
          <w:szCs w:val="32"/>
          <w:lang w:bidi="en-US"/>
        </w:rPr>
      </w:pPr>
      <w:r>
        <w:rPr>
          <w:rFonts w:ascii="仿宋_GB2312" w:eastAsia="仿宋_GB2312"/>
          <w:kern w:val="0"/>
          <w:sz w:val="32"/>
          <w:szCs w:val="32"/>
          <w:lang w:bidi="en-US"/>
        </w:rPr>
        <w:t>[请列示发行人的股权结构]</w:t>
      </w:r>
    </w:p>
    <w:p>
      <w:pPr>
        <w:tabs>
          <w:tab w:val="left" w:pos="756"/>
        </w:tabs>
        <w:spacing w:line="560" w:lineRule="exact"/>
        <w:ind w:firstLine="642" w:firstLineChars="200"/>
        <w:textAlignment w:val="baseline"/>
        <w:rPr>
          <w:rFonts w:ascii="仿宋_GB2312" w:hAnsi="仿宋_GB2312" w:eastAsia="仿宋_GB2312"/>
          <w:b/>
          <w:sz w:val="32"/>
          <w:szCs w:val="32"/>
        </w:rPr>
      </w:pPr>
      <w:r>
        <w:rPr>
          <w:rFonts w:hint="eastAsia" w:ascii="仿宋_GB2312" w:hAnsi="仿宋_GB2312" w:eastAsia="仿宋_GB2312"/>
          <w:b/>
          <w:sz w:val="32"/>
          <w:szCs w:val="32"/>
        </w:rPr>
        <w:t>（二）主营业务</w:t>
      </w:r>
    </w:p>
    <w:p>
      <w:pPr>
        <w:widowControl/>
        <w:adjustRightInd w:val="0"/>
        <w:jc w:val="right"/>
        <w:textAlignment w:val="baseline"/>
        <w:rPr>
          <w:rFonts w:ascii="仿宋_GB2312" w:eastAsia="仿宋_GB2312"/>
          <w:bCs/>
          <w:color w:val="000000"/>
          <w:kern w:val="0"/>
          <w:szCs w:val="21"/>
        </w:rPr>
      </w:pPr>
      <w:r>
        <w:rPr>
          <w:rFonts w:hint="eastAsia" w:ascii="仿宋_GB2312" w:eastAsia="仿宋_GB2312"/>
          <w:bCs/>
          <w:color w:val="000000"/>
          <w:kern w:val="0"/>
          <w:szCs w:val="21"/>
        </w:rPr>
        <w:t>单位：亿元、%</w:t>
      </w:r>
    </w:p>
    <w:tbl>
      <w:tblPr>
        <w:tblStyle w:val="10"/>
        <w:tblW w:w="46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1160"/>
        <w:gridCol w:w="793"/>
        <w:gridCol w:w="1317"/>
        <w:gridCol w:w="793"/>
        <w:gridCol w:w="1319"/>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14" w:type="pct"/>
            <w:vMerge w:val="restart"/>
            <w:vAlign w:val="center"/>
          </w:tcPr>
          <w:p>
            <w:pPr>
              <w:jc w:val="center"/>
              <w:rPr>
                <w:rFonts w:ascii="仿宋_GB2312" w:hAnsi="Times New Roman" w:eastAsia="仿宋_GB2312"/>
                <w:b/>
                <w:color w:val="000000"/>
                <w:szCs w:val="21"/>
              </w:rPr>
            </w:pPr>
            <w:r>
              <w:rPr>
                <w:rFonts w:ascii="仿宋_GB2312" w:hAnsi="Times New Roman" w:eastAsia="仿宋_GB2312"/>
                <w:b/>
                <w:color w:val="000000"/>
                <w:szCs w:val="21"/>
              </w:rPr>
              <w:t>项目</w:t>
            </w:r>
          </w:p>
        </w:tc>
        <w:tc>
          <w:tcPr>
            <w:tcW w:w="1229" w:type="pct"/>
            <w:gridSpan w:val="2"/>
            <w:vAlign w:val="center"/>
          </w:tcPr>
          <w:p>
            <w:pPr>
              <w:jc w:val="center"/>
              <w:rPr>
                <w:rFonts w:ascii="仿宋_GB2312" w:hAnsi="Times New Roman" w:eastAsia="仿宋_GB2312"/>
                <w:b/>
                <w:color w:val="000000"/>
                <w:szCs w:val="21"/>
              </w:rPr>
            </w:pPr>
            <w:r>
              <w:rPr>
                <w:rFonts w:ascii="仿宋_GB2312" w:eastAsia="仿宋_GB2312"/>
                <w:b/>
                <w:bCs/>
                <w:color w:val="000000"/>
                <w:kern w:val="0"/>
                <w:szCs w:val="21"/>
              </w:rPr>
              <w:t>20</w:t>
            </w:r>
            <w:r>
              <w:rPr>
                <w:rFonts w:hint="eastAsia" w:ascii="仿宋_GB2312" w:eastAsia="仿宋_GB2312"/>
                <w:b/>
                <w:bCs/>
                <w:color w:val="000000"/>
                <w:kern w:val="0"/>
                <w:szCs w:val="21"/>
              </w:rPr>
              <w:t>XX年</w:t>
            </w:r>
            <w:r>
              <w:rPr>
                <w:rFonts w:ascii="仿宋_GB2312" w:eastAsia="仿宋_GB2312"/>
                <w:b/>
                <w:bCs/>
                <w:color w:val="000000"/>
                <w:kern w:val="0"/>
                <w:szCs w:val="21"/>
              </w:rPr>
              <w:t>1-X</w:t>
            </w:r>
            <w:r>
              <w:rPr>
                <w:rFonts w:hint="eastAsia" w:ascii="仿宋_GB2312" w:eastAsia="仿宋_GB2312"/>
                <w:b/>
                <w:bCs/>
                <w:color w:val="000000"/>
                <w:kern w:val="0"/>
                <w:szCs w:val="21"/>
              </w:rPr>
              <w:t>月</w:t>
            </w:r>
          </w:p>
        </w:tc>
        <w:tc>
          <w:tcPr>
            <w:tcW w:w="1328" w:type="pct"/>
            <w:gridSpan w:val="2"/>
            <w:vAlign w:val="center"/>
          </w:tcPr>
          <w:p>
            <w:pPr>
              <w:jc w:val="center"/>
              <w:rPr>
                <w:rFonts w:ascii="仿宋_GB2312" w:hAnsi="Times New Roman" w:eastAsia="仿宋_GB2312"/>
                <w:b/>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c>
          <w:tcPr>
            <w:tcW w:w="1330" w:type="pct"/>
            <w:gridSpan w:val="2"/>
            <w:shd w:val="clear" w:color="auto" w:fill="auto"/>
            <w:vAlign w:val="center"/>
          </w:tcPr>
          <w:p>
            <w:pPr>
              <w:jc w:val="center"/>
              <w:rPr>
                <w:rFonts w:ascii="仿宋_GB2312" w:hAnsi="Times New Roman" w:eastAsia="仿宋_GB2312"/>
                <w:b/>
                <w:color w:val="000000"/>
                <w:szCs w:val="21"/>
              </w:rPr>
            </w:pPr>
            <w:r>
              <w:rPr>
                <w:rFonts w:ascii="仿宋_GB2312" w:eastAsia="仿宋_GB2312"/>
                <w:b/>
                <w:bCs/>
                <w:color w:val="000000"/>
                <w:kern w:val="0"/>
                <w:szCs w:val="21"/>
              </w:rPr>
              <w:t>20XX年</w:t>
            </w:r>
            <w:r>
              <w:rPr>
                <w:rFonts w:hint="eastAsia" w:ascii="仿宋_GB2312" w:eastAsia="仿宋_GB2312"/>
                <w:b/>
                <w:bCs/>
                <w:color w:val="000000"/>
                <w:kern w:val="0"/>
                <w:szCs w:val="21"/>
              </w:rPr>
              <w:t>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114" w:type="pct"/>
            <w:vMerge w:val="continue"/>
            <w:vAlign w:val="center"/>
          </w:tcPr>
          <w:p>
            <w:pPr>
              <w:jc w:val="center"/>
              <w:rPr>
                <w:rFonts w:ascii="仿宋_GB2312" w:hAnsi="Times New Roman" w:eastAsia="仿宋_GB2312"/>
                <w:b/>
                <w:color w:val="000000"/>
                <w:szCs w:val="21"/>
              </w:rPr>
            </w:pPr>
          </w:p>
        </w:tc>
        <w:tc>
          <w:tcPr>
            <w:tcW w:w="730" w:type="pct"/>
            <w:vAlign w:val="center"/>
          </w:tcPr>
          <w:p>
            <w:pPr>
              <w:jc w:val="center"/>
              <w:rPr>
                <w:rFonts w:ascii="仿宋_GB2312" w:hAnsi="Times New Roman" w:eastAsia="仿宋_GB2312"/>
                <w:b/>
                <w:color w:val="000000"/>
                <w:szCs w:val="21"/>
              </w:rPr>
            </w:pPr>
            <w:r>
              <w:rPr>
                <w:rFonts w:ascii="仿宋_GB2312" w:hAnsi="Times New Roman" w:eastAsia="仿宋_GB2312"/>
                <w:b/>
                <w:color w:val="000000"/>
                <w:szCs w:val="21"/>
              </w:rPr>
              <w:t>金额</w:t>
            </w:r>
          </w:p>
        </w:tc>
        <w:tc>
          <w:tcPr>
            <w:tcW w:w="499" w:type="pct"/>
            <w:vAlign w:val="center"/>
          </w:tcPr>
          <w:p>
            <w:pPr>
              <w:jc w:val="center"/>
              <w:rPr>
                <w:rFonts w:ascii="仿宋_GB2312" w:hAnsi="Times New Roman" w:eastAsia="仿宋_GB2312"/>
                <w:b/>
                <w:color w:val="000000"/>
                <w:szCs w:val="21"/>
              </w:rPr>
            </w:pPr>
            <w:r>
              <w:rPr>
                <w:rFonts w:ascii="仿宋_GB2312" w:hAnsi="Times New Roman" w:eastAsia="仿宋_GB2312"/>
                <w:b/>
                <w:color w:val="000000"/>
                <w:szCs w:val="21"/>
              </w:rPr>
              <w:t>占比</w:t>
            </w:r>
          </w:p>
        </w:tc>
        <w:tc>
          <w:tcPr>
            <w:tcW w:w="829" w:type="pct"/>
            <w:vAlign w:val="center"/>
          </w:tcPr>
          <w:p>
            <w:pPr>
              <w:jc w:val="center"/>
              <w:rPr>
                <w:rFonts w:ascii="仿宋_GB2312" w:hAnsi="Times New Roman" w:eastAsia="仿宋_GB2312"/>
                <w:b/>
                <w:color w:val="000000"/>
                <w:szCs w:val="21"/>
              </w:rPr>
            </w:pPr>
            <w:r>
              <w:rPr>
                <w:rFonts w:ascii="仿宋_GB2312" w:hAnsi="Times New Roman" w:eastAsia="仿宋_GB2312"/>
                <w:b/>
                <w:color w:val="000000"/>
                <w:szCs w:val="21"/>
              </w:rPr>
              <w:t>金额</w:t>
            </w:r>
          </w:p>
        </w:tc>
        <w:tc>
          <w:tcPr>
            <w:tcW w:w="499" w:type="pct"/>
            <w:vAlign w:val="center"/>
          </w:tcPr>
          <w:p>
            <w:pPr>
              <w:jc w:val="center"/>
              <w:rPr>
                <w:rFonts w:ascii="仿宋_GB2312" w:hAnsi="Times New Roman" w:eastAsia="仿宋_GB2312"/>
                <w:b/>
                <w:color w:val="000000"/>
                <w:szCs w:val="21"/>
              </w:rPr>
            </w:pPr>
            <w:r>
              <w:rPr>
                <w:rFonts w:ascii="仿宋_GB2312" w:hAnsi="Times New Roman" w:eastAsia="仿宋_GB2312"/>
                <w:b/>
                <w:color w:val="000000"/>
                <w:szCs w:val="21"/>
              </w:rPr>
              <w:t>占比</w:t>
            </w:r>
          </w:p>
        </w:tc>
        <w:tc>
          <w:tcPr>
            <w:tcW w:w="830" w:type="pct"/>
            <w:shd w:val="clear" w:color="auto" w:fill="auto"/>
            <w:vAlign w:val="center"/>
          </w:tcPr>
          <w:p>
            <w:pPr>
              <w:jc w:val="center"/>
              <w:rPr>
                <w:rFonts w:ascii="仿宋_GB2312" w:hAnsi="Times New Roman" w:eastAsia="仿宋_GB2312"/>
                <w:b/>
                <w:color w:val="000000"/>
                <w:szCs w:val="21"/>
              </w:rPr>
            </w:pPr>
            <w:r>
              <w:rPr>
                <w:rFonts w:ascii="仿宋_GB2312" w:hAnsi="Times New Roman" w:eastAsia="仿宋_GB2312"/>
                <w:b/>
                <w:color w:val="000000"/>
                <w:szCs w:val="21"/>
              </w:rPr>
              <w:t>金额</w:t>
            </w:r>
          </w:p>
        </w:tc>
        <w:tc>
          <w:tcPr>
            <w:tcW w:w="500" w:type="pct"/>
            <w:shd w:val="clear" w:color="auto" w:fill="auto"/>
            <w:vAlign w:val="center"/>
          </w:tcPr>
          <w:p>
            <w:pPr>
              <w:jc w:val="center"/>
              <w:rPr>
                <w:rFonts w:ascii="仿宋_GB2312" w:hAnsi="Times New Roman" w:eastAsia="仿宋_GB2312"/>
                <w:b/>
                <w:color w:val="000000"/>
                <w:szCs w:val="21"/>
              </w:rPr>
            </w:pPr>
            <w:r>
              <w:rPr>
                <w:rFonts w:ascii="仿宋_GB2312" w:hAnsi="Times New Roman" w:eastAsia="仿宋_GB2312"/>
                <w:b/>
                <w:color w:val="000000"/>
                <w:szCs w:val="21"/>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vAlign w:val="center"/>
          </w:tcPr>
          <w:p>
            <w:pPr>
              <w:widowControl/>
              <w:jc w:val="right"/>
              <w:textAlignment w:val="top"/>
              <w:rPr>
                <w:rFonts w:ascii="仿宋_GB2312" w:hAnsi="Times New Roman" w:eastAsia="仿宋_GB2312"/>
                <w:color w:val="000000"/>
                <w:szCs w:val="21"/>
              </w:rPr>
            </w:pPr>
          </w:p>
        </w:tc>
        <w:tc>
          <w:tcPr>
            <w:tcW w:w="499" w:type="pct"/>
            <w:vAlign w:val="center"/>
          </w:tcPr>
          <w:p>
            <w:pPr>
              <w:widowControl/>
              <w:jc w:val="right"/>
              <w:textAlignment w:val="top"/>
              <w:rPr>
                <w:rFonts w:ascii="仿宋_GB2312" w:hAnsi="Times New Roman" w:eastAsia="仿宋_GB2312"/>
                <w:szCs w:val="24"/>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vAlign w:val="center"/>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vAlign w:val="center"/>
          </w:tcPr>
          <w:p>
            <w:pPr>
              <w:widowControl/>
              <w:jc w:val="right"/>
              <w:textAlignment w:val="top"/>
              <w:rPr>
                <w:rFonts w:ascii="仿宋_GB2312" w:hAnsi="Times New Roman" w:eastAsia="仿宋_GB2312"/>
                <w:color w:val="000000"/>
                <w:szCs w:val="21"/>
              </w:rPr>
            </w:pPr>
          </w:p>
        </w:tc>
        <w:tc>
          <w:tcPr>
            <w:tcW w:w="499" w:type="pct"/>
            <w:vAlign w:val="center"/>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vAlign w:val="center"/>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vAlign w:val="center"/>
          </w:tcPr>
          <w:p>
            <w:pPr>
              <w:widowControl/>
              <w:jc w:val="right"/>
              <w:textAlignment w:val="top"/>
              <w:rPr>
                <w:rFonts w:ascii="仿宋_GB2312" w:hAnsi="Times New Roman" w:eastAsia="仿宋_GB2312"/>
                <w:color w:val="000000"/>
                <w:szCs w:val="21"/>
              </w:rPr>
            </w:pPr>
          </w:p>
        </w:tc>
        <w:tc>
          <w:tcPr>
            <w:tcW w:w="499" w:type="pct"/>
            <w:vAlign w:val="center"/>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vAlign w:val="center"/>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vAlign w:val="center"/>
          </w:tcPr>
          <w:p>
            <w:pPr>
              <w:widowControl/>
              <w:jc w:val="right"/>
              <w:textAlignment w:val="top"/>
              <w:rPr>
                <w:rFonts w:ascii="仿宋_GB2312" w:hAnsi="Times New Roman" w:eastAsia="仿宋_GB2312"/>
                <w:color w:val="000000"/>
                <w:szCs w:val="21"/>
              </w:rPr>
            </w:pPr>
          </w:p>
        </w:tc>
        <w:tc>
          <w:tcPr>
            <w:tcW w:w="499" w:type="pct"/>
            <w:vAlign w:val="center"/>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vAlign w:val="center"/>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vAlign w:val="center"/>
          </w:tcPr>
          <w:p>
            <w:pPr>
              <w:widowControl/>
              <w:jc w:val="right"/>
              <w:textAlignment w:val="top"/>
              <w:rPr>
                <w:rFonts w:ascii="仿宋_GB2312" w:hAnsi="Times New Roman" w:eastAsia="仿宋_GB2312"/>
                <w:color w:val="000000"/>
                <w:szCs w:val="21"/>
              </w:rPr>
            </w:pPr>
          </w:p>
        </w:tc>
        <w:tc>
          <w:tcPr>
            <w:tcW w:w="499" w:type="pct"/>
            <w:vAlign w:val="center"/>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vAlign w:val="center"/>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vAlign w:val="center"/>
          </w:tcPr>
          <w:p>
            <w:pPr>
              <w:widowControl/>
              <w:jc w:val="right"/>
              <w:textAlignment w:val="top"/>
              <w:rPr>
                <w:rFonts w:ascii="仿宋_GB2312" w:hAnsi="Times New Roman" w:eastAsia="仿宋_GB2312"/>
                <w:color w:val="000000"/>
                <w:szCs w:val="21"/>
              </w:rPr>
            </w:pPr>
          </w:p>
        </w:tc>
        <w:tc>
          <w:tcPr>
            <w:tcW w:w="499" w:type="pct"/>
            <w:vAlign w:val="center"/>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vAlign w:val="center"/>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vAlign w:val="center"/>
          </w:tcPr>
          <w:p>
            <w:pPr>
              <w:widowControl/>
              <w:jc w:val="right"/>
              <w:textAlignment w:val="top"/>
              <w:rPr>
                <w:rFonts w:ascii="仿宋_GB2312" w:hAnsi="Times New Roman" w:eastAsia="仿宋_GB2312"/>
                <w:color w:val="000000"/>
                <w:szCs w:val="21"/>
              </w:rPr>
            </w:pPr>
          </w:p>
        </w:tc>
        <w:tc>
          <w:tcPr>
            <w:tcW w:w="499" w:type="pct"/>
            <w:vAlign w:val="center"/>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vAlign w:val="center"/>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vAlign w:val="center"/>
          </w:tcPr>
          <w:p>
            <w:pPr>
              <w:widowControl/>
              <w:jc w:val="right"/>
              <w:textAlignment w:val="top"/>
              <w:rPr>
                <w:rFonts w:ascii="仿宋_GB2312" w:hAnsi="Times New Roman" w:eastAsia="仿宋_GB2312"/>
                <w:color w:val="000000"/>
                <w:szCs w:val="21"/>
              </w:rPr>
            </w:pPr>
          </w:p>
        </w:tc>
        <w:tc>
          <w:tcPr>
            <w:tcW w:w="499" w:type="pct"/>
            <w:vAlign w:val="center"/>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vAlign w:val="center"/>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tcPr>
          <w:p>
            <w:pPr>
              <w:widowControl/>
              <w:jc w:val="right"/>
              <w:textAlignment w:val="top"/>
              <w:rPr>
                <w:rFonts w:ascii="仿宋_GB2312" w:hAnsi="Times New Roman" w:eastAsia="仿宋_GB2312"/>
                <w:color w:val="000000"/>
                <w:szCs w:val="21"/>
              </w:rPr>
            </w:pPr>
          </w:p>
        </w:tc>
        <w:tc>
          <w:tcPr>
            <w:tcW w:w="499" w:type="pct"/>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114" w:type="pct"/>
            <w:vAlign w:val="center"/>
          </w:tcPr>
          <w:p>
            <w:pPr>
              <w:jc w:val="center"/>
              <w:rPr>
                <w:rFonts w:ascii="仿宋_GB2312" w:hAnsi="Times New Roman" w:eastAsia="仿宋_GB2312"/>
                <w:szCs w:val="21"/>
              </w:rPr>
            </w:pPr>
          </w:p>
        </w:tc>
        <w:tc>
          <w:tcPr>
            <w:tcW w:w="730" w:type="pct"/>
            <w:vAlign w:val="center"/>
          </w:tcPr>
          <w:p>
            <w:pPr>
              <w:widowControl/>
              <w:jc w:val="right"/>
              <w:textAlignment w:val="center"/>
              <w:rPr>
                <w:rFonts w:ascii="仿宋_GB2312" w:hAnsi="Times New Roman" w:eastAsia="仿宋_GB2312"/>
                <w:szCs w:val="24"/>
              </w:rPr>
            </w:pPr>
          </w:p>
        </w:tc>
        <w:tc>
          <w:tcPr>
            <w:tcW w:w="499" w:type="pct"/>
            <w:vAlign w:val="center"/>
          </w:tcPr>
          <w:p>
            <w:pPr>
              <w:widowControl/>
              <w:jc w:val="right"/>
              <w:textAlignment w:val="center"/>
              <w:rPr>
                <w:rFonts w:ascii="仿宋_GB2312" w:hAnsi="Times New Roman" w:eastAsia="仿宋_GB2312"/>
                <w:szCs w:val="24"/>
              </w:rPr>
            </w:pPr>
          </w:p>
        </w:tc>
        <w:tc>
          <w:tcPr>
            <w:tcW w:w="829" w:type="pct"/>
          </w:tcPr>
          <w:p>
            <w:pPr>
              <w:widowControl/>
              <w:jc w:val="right"/>
              <w:textAlignment w:val="top"/>
              <w:rPr>
                <w:rFonts w:ascii="仿宋_GB2312" w:hAnsi="Times New Roman" w:eastAsia="仿宋_GB2312"/>
                <w:color w:val="000000"/>
                <w:szCs w:val="21"/>
              </w:rPr>
            </w:pPr>
          </w:p>
        </w:tc>
        <w:tc>
          <w:tcPr>
            <w:tcW w:w="499" w:type="pct"/>
          </w:tcPr>
          <w:p>
            <w:pPr>
              <w:widowControl/>
              <w:jc w:val="right"/>
              <w:textAlignment w:val="top"/>
              <w:rPr>
                <w:rFonts w:ascii="仿宋_GB2312" w:hAnsi="Times New Roman" w:eastAsia="仿宋_GB2312"/>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color w:val="000000"/>
                <w:szCs w:val="21"/>
              </w:rPr>
            </w:pPr>
          </w:p>
        </w:tc>
        <w:tc>
          <w:tcPr>
            <w:tcW w:w="500" w:type="pct"/>
            <w:shd w:val="clear" w:color="auto" w:fill="auto"/>
            <w:noWrap/>
          </w:tcPr>
          <w:p>
            <w:pPr>
              <w:widowControl/>
              <w:jc w:val="right"/>
              <w:textAlignment w:val="top"/>
              <w:rPr>
                <w:rFonts w:ascii="仿宋_GB2312" w:hAnsi="Times New Roman"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4" w:type="pct"/>
            <w:vAlign w:val="center"/>
          </w:tcPr>
          <w:p>
            <w:pPr>
              <w:jc w:val="center"/>
              <w:rPr>
                <w:rFonts w:ascii="仿宋_GB2312" w:hAnsi="Times New Roman" w:eastAsia="仿宋_GB2312"/>
                <w:b/>
                <w:szCs w:val="21"/>
              </w:rPr>
            </w:pPr>
            <w:r>
              <w:rPr>
                <w:rFonts w:ascii="仿宋_GB2312" w:hAnsi="Times New Roman" w:eastAsia="仿宋_GB2312"/>
                <w:b/>
                <w:szCs w:val="21"/>
              </w:rPr>
              <w:t>合计</w:t>
            </w:r>
          </w:p>
        </w:tc>
        <w:tc>
          <w:tcPr>
            <w:tcW w:w="730" w:type="pct"/>
            <w:vAlign w:val="center"/>
          </w:tcPr>
          <w:p>
            <w:pPr>
              <w:widowControl/>
              <w:jc w:val="right"/>
              <w:textAlignment w:val="center"/>
              <w:rPr>
                <w:rFonts w:ascii="仿宋_GB2312" w:hAnsi="Times New Roman" w:eastAsia="仿宋_GB2312"/>
                <w:b/>
                <w:bCs/>
                <w:szCs w:val="24"/>
              </w:rPr>
            </w:pPr>
          </w:p>
        </w:tc>
        <w:tc>
          <w:tcPr>
            <w:tcW w:w="499" w:type="pct"/>
            <w:vAlign w:val="center"/>
          </w:tcPr>
          <w:p>
            <w:pPr>
              <w:widowControl/>
              <w:jc w:val="right"/>
              <w:textAlignment w:val="center"/>
              <w:rPr>
                <w:rFonts w:ascii="仿宋_GB2312" w:hAnsi="Times New Roman" w:eastAsia="仿宋_GB2312"/>
                <w:b/>
                <w:bCs/>
                <w:szCs w:val="24"/>
              </w:rPr>
            </w:pPr>
          </w:p>
        </w:tc>
        <w:tc>
          <w:tcPr>
            <w:tcW w:w="829" w:type="pct"/>
          </w:tcPr>
          <w:p>
            <w:pPr>
              <w:widowControl/>
              <w:jc w:val="right"/>
              <w:textAlignment w:val="top"/>
              <w:rPr>
                <w:rFonts w:ascii="仿宋_GB2312" w:hAnsi="Times New Roman" w:eastAsia="仿宋_GB2312"/>
                <w:b/>
                <w:bCs/>
                <w:color w:val="000000"/>
                <w:kern w:val="0"/>
                <w:szCs w:val="21"/>
              </w:rPr>
            </w:pPr>
          </w:p>
        </w:tc>
        <w:tc>
          <w:tcPr>
            <w:tcW w:w="499" w:type="pct"/>
          </w:tcPr>
          <w:p>
            <w:pPr>
              <w:widowControl/>
              <w:jc w:val="right"/>
              <w:textAlignment w:val="top"/>
              <w:rPr>
                <w:rFonts w:ascii="仿宋_GB2312" w:hAnsi="Times New Roman" w:eastAsia="仿宋_GB2312"/>
                <w:b/>
                <w:bCs/>
                <w:color w:val="000000"/>
                <w:szCs w:val="21"/>
              </w:rPr>
            </w:pPr>
          </w:p>
        </w:tc>
        <w:tc>
          <w:tcPr>
            <w:tcW w:w="830" w:type="pct"/>
            <w:shd w:val="clear" w:color="auto" w:fill="auto"/>
            <w:noWrap/>
            <w:vAlign w:val="center"/>
          </w:tcPr>
          <w:p>
            <w:pPr>
              <w:widowControl/>
              <w:jc w:val="right"/>
              <w:textAlignment w:val="center"/>
              <w:rPr>
                <w:rFonts w:ascii="仿宋_GB2312" w:hAnsi="Times New Roman" w:eastAsia="仿宋_GB2312"/>
                <w:b/>
                <w:bCs/>
                <w:color w:val="000000"/>
                <w:szCs w:val="21"/>
              </w:rPr>
            </w:pPr>
          </w:p>
        </w:tc>
        <w:tc>
          <w:tcPr>
            <w:tcW w:w="500" w:type="pct"/>
            <w:shd w:val="clear" w:color="auto" w:fill="auto"/>
            <w:noWrap/>
            <w:vAlign w:val="center"/>
          </w:tcPr>
          <w:p>
            <w:pPr>
              <w:widowControl/>
              <w:jc w:val="right"/>
              <w:textAlignment w:val="center"/>
              <w:rPr>
                <w:rFonts w:ascii="仿宋_GB2312" w:hAnsi="Times New Roman" w:eastAsia="仿宋_GB2312"/>
                <w:b/>
                <w:bCs/>
                <w:color w:val="000000"/>
                <w:szCs w:val="21"/>
              </w:rPr>
            </w:pPr>
          </w:p>
        </w:tc>
      </w:tr>
    </w:tbl>
    <w:p>
      <w:pPr>
        <w:spacing w:line="560" w:lineRule="exact"/>
        <w:ind w:firstLine="642" w:firstLineChars="200"/>
        <w:rPr>
          <w:rFonts w:ascii="黑体" w:hAnsi="黑体" w:eastAsia="黑体"/>
          <w:b/>
          <w:kern w:val="0"/>
          <w:sz w:val="32"/>
          <w:szCs w:val="32"/>
          <w:lang w:bidi="en-US"/>
        </w:rPr>
      </w:pPr>
      <w:r>
        <w:rPr>
          <w:rFonts w:hint="eastAsia" w:ascii="黑体" w:hAnsi="黑体" w:eastAsia="黑体"/>
          <w:b/>
          <w:kern w:val="0"/>
          <w:sz w:val="32"/>
          <w:szCs w:val="32"/>
          <w:lang w:bidi="en-US"/>
        </w:rPr>
        <w:t>二、发行人主要财务数据和财务指标</w:t>
      </w:r>
    </w:p>
    <w:p>
      <w:pPr>
        <w:widowControl/>
        <w:spacing w:line="560" w:lineRule="exact"/>
        <w:ind w:firstLine="642" w:firstLineChars="200"/>
        <w:rPr>
          <w:rFonts w:ascii="仿宋_GB2312" w:eastAsia="仿宋_GB2312"/>
          <w:b/>
          <w:kern w:val="0"/>
          <w:sz w:val="32"/>
          <w:szCs w:val="32"/>
          <w:lang w:bidi="en-US"/>
        </w:rPr>
      </w:pPr>
      <w:r>
        <w:rPr>
          <w:rFonts w:hint="eastAsia" w:ascii="仿宋_GB2312" w:eastAsia="仿宋_GB2312"/>
          <w:b/>
          <w:kern w:val="0"/>
          <w:sz w:val="32"/>
          <w:szCs w:val="32"/>
          <w:lang w:bidi="en-US"/>
        </w:rPr>
        <w:t>（一）发行人合并报表主要财务数据和财务指标如下表所示：</w:t>
      </w:r>
    </w:p>
    <w:tbl>
      <w:tblPr>
        <w:tblStyle w:val="10"/>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5"/>
        <w:gridCol w:w="1140"/>
        <w:gridCol w:w="1104"/>
        <w:gridCol w:w="1127"/>
        <w:gridCol w:w="10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shd w:val="clear" w:color="auto" w:fill="auto"/>
            <w:vAlign w:val="center"/>
          </w:tcPr>
          <w:p>
            <w:pPr>
              <w:widowControl/>
              <w:adjustRightInd w:val="0"/>
              <w:snapToGrid w:val="0"/>
              <w:jc w:val="center"/>
              <w:rPr>
                <w:rFonts w:ascii="仿宋_GB2312" w:hAnsi="黑体" w:eastAsia="仿宋_GB2312"/>
                <w:kern w:val="0"/>
                <w:szCs w:val="21"/>
              </w:rPr>
            </w:pPr>
            <w:r>
              <w:rPr>
                <w:rFonts w:hint="eastAsia" w:ascii="仿宋_GB2312" w:hAnsi="黑体" w:eastAsia="仿宋_GB2312"/>
                <w:b/>
                <w:bCs/>
                <w:kern w:val="0"/>
                <w:szCs w:val="21"/>
              </w:rPr>
              <w:t>项目</w:t>
            </w:r>
          </w:p>
        </w:tc>
        <w:tc>
          <w:tcPr>
            <w:tcW w:w="1140" w:type="dxa"/>
            <w:shd w:val="clear" w:color="auto" w:fill="auto"/>
            <w:vAlign w:val="center"/>
          </w:tcPr>
          <w:p>
            <w:pPr>
              <w:widowControl/>
              <w:adjustRightInd w:val="0"/>
              <w:snapToGrid w:val="0"/>
              <w:jc w:val="center"/>
              <w:rPr>
                <w:rFonts w:ascii="仿宋_GB2312" w:hAnsi="黑体" w:eastAsia="仿宋_GB2312"/>
                <w:kern w:val="0"/>
                <w:szCs w:val="21"/>
              </w:rPr>
            </w:pPr>
            <w:r>
              <w:rPr>
                <w:rFonts w:ascii="仿宋_GB2312" w:hAnsi="Times New Roman" w:eastAsia="仿宋_GB2312"/>
                <w:b/>
                <w:bCs/>
                <w:color w:val="000000"/>
                <w:kern w:val="0"/>
                <w:szCs w:val="21"/>
                <w:lang w:eastAsia="en-US" w:bidi="en-US"/>
              </w:rPr>
              <w:t>20</w:t>
            </w:r>
            <w:r>
              <w:rPr>
                <w:rFonts w:hint="eastAsia" w:ascii="仿宋_GB2312" w:hAnsi="Times New Roman" w:eastAsia="仿宋_GB2312"/>
                <w:b/>
                <w:bCs/>
                <w:color w:val="000000"/>
                <w:kern w:val="0"/>
                <w:szCs w:val="21"/>
                <w:lang w:bidi="en-US"/>
              </w:rPr>
              <w:t>XX</w:t>
            </w:r>
            <w:r>
              <w:rPr>
                <w:rFonts w:hint="eastAsia" w:ascii="仿宋_GB2312" w:hAnsi="Times New Roman" w:eastAsia="仿宋_GB2312"/>
                <w:b/>
                <w:bCs/>
                <w:color w:val="000000"/>
                <w:kern w:val="0"/>
                <w:szCs w:val="21"/>
                <w:lang w:eastAsia="en-US" w:bidi="en-US"/>
              </w:rPr>
              <w:t>年X-X月</w:t>
            </w:r>
          </w:p>
        </w:tc>
        <w:tc>
          <w:tcPr>
            <w:tcW w:w="1104" w:type="dxa"/>
            <w:shd w:val="clear" w:color="auto" w:fill="auto"/>
            <w:vAlign w:val="center"/>
          </w:tcPr>
          <w:p>
            <w:pPr>
              <w:widowControl/>
              <w:adjustRightInd w:val="0"/>
              <w:snapToGrid w:val="0"/>
              <w:jc w:val="center"/>
              <w:rPr>
                <w:rFonts w:ascii="仿宋_GB2312" w:hAnsi="黑体" w:eastAsia="仿宋_GB2312"/>
                <w:kern w:val="0"/>
                <w:szCs w:val="21"/>
              </w:rPr>
            </w:pPr>
            <w:r>
              <w:rPr>
                <w:rFonts w:ascii="仿宋_GB2312" w:hAnsi="Times New Roman" w:eastAsia="仿宋_GB2312"/>
                <w:b/>
                <w:bCs/>
                <w:color w:val="000000"/>
                <w:kern w:val="0"/>
                <w:szCs w:val="21"/>
                <w:lang w:eastAsia="en-US" w:bidi="en-US"/>
              </w:rPr>
              <w:t>20</w:t>
            </w:r>
            <w:r>
              <w:rPr>
                <w:rFonts w:hint="eastAsia" w:ascii="仿宋_GB2312" w:hAnsi="Times New Roman" w:eastAsia="仿宋_GB2312"/>
                <w:b/>
                <w:bCs/>
                <w:color w:val="000000"/>
                <w:kern w:val="0"/>
                <w:szCs w:val="21"/>
                <w:lang w:bidi="en-US"/>
              </w:rPr>
              <w:t>XX</w:t>
            </w:r>
            <w:r>
              <w:rPr>
                <w:rFonts w:hint="eastAsia" w:ascii="仿宋_GB2312" w:hAnsi="Times New Roman" w:eastAsia="仿宋_GB2312"/>
                <w:b/>
                <w:bCs/>
                <w:color w:val="000000"/>
                <w:kern w:val="0"/>
                <w:szCs w:val="21"/>
                <w:lang w:eastAsia="en-US" w:bidi="en-US"/>
              </w:rPr>
              <w:t>年</w:t>
            </w:r>
          </w:p>
        </w:tc>
        <w:tc>
          <w:tcPr>
            <w:tcW w:w="1127" w:type="dxa"/>
            <w:shd w:val="clear" w:color="auto" w:fill="auto"/>
            <w:vAlign w:val="center"/>
          </w:tcPr>
          <w:p>
            <w:pPr>
              <w:widowControl/>
              <w:adjustRightInd w:val="0"/>
              <w:snapToGrid w:val="0"/>
              <w:jc w:val="center"/>
              <w:rPr>
                <w:rFonts w:ascii="仿宋_GB2312" w:hAnsi="黑体" w:eastAsia="仿宋_GB2312"/>
                <w:kern w:val="0"/>
                <w:szCs w:val="21"/>
              </w:rPr>
            </w:pPr>
            <w:r>
              <w:rPr>
                <w:rFonts w:ascii="仿宋_GB2312" w:hAnsi="Times New Roman" w:eastAsia="仿宋_GB2312"/>
                <w:b/>
                <w:bCs/>
                <w:color w:val="000000"/>
                <w:kern w:val="0"/>
                <w:szCs w:val="21"/>
                <w:lang w:eastAsia="en-US" w:bidi="en-US"/>
              </w:rPr>
              <w:t>20</w:t>
            </w:r>
            <w:r>
              <w:rPr>
                <w:rFonts w:hint="eastAsia" w:ascii="仿宋_GB2312" w:hAnsi="Times New Roman" w:eastAsia="仿宋_GB2312"/>
                <w:b/>
                <w:bCs/>
                <w:color w:val="000000"/>
                <w:kern w:val="0"/>
                <w:szCs w:val="21"/>
                <w:lang w:bidi="en-US"/>
              </w:rPr>
              <w:t>XX</w:t>
            </w:r>
            <w:r>
              <w:rPr>
                <w:rFonts w:hint="eastAsia" w:ascii="仿宋_GB2312" w:hAnsi="Times New Roman" w:eastAsia="仿宋_GB2312"/>
                <w:b/>
                <w:bCs/>
                <w:color w:val="000000"/>
                <w:kern w:val="0"/>
                <w:szCs w:val="21"/>
                <w:lang w:eastAsia="en-US" w:bidi="en-US"/>
              </w:rPr>
              <w:t>年</w:t>
            </w:r>
          </w:p>
        </w:tc>
        <w:tc>
          <w:tcPr>
            <w:tcW w:w="1041" w:type="dxa"/>
            <w:shd w:val="clear" w:color="auto" w:fill="auto"/>
            <w:vAlign w:val="center"/>
          </w:tcPr>
          <w:p>
            <w:pPr>
              <w:widowControl/>
              <w:adjustRightInd w:val="0"/>
              <w:snapToGrid w:val="0"/>
              <w:jc w:val="center"/>
              <w:rPr>
                <w:rFonts w:ascii="仿宋_GB2312" w:hAnsi="黑体" w:eastAsia="仿宋_GB2312"/>
                <w:kern w:val="0"/>
                <w:szCs w:val="21"/>
              </w:rPr>
            </w:pPr>
            <w:r>
              <w:rPr>
                <w:rFonts w:ascii="仿宋_GB2312" w:hAnsi="Times New Roman" w:eastAsia="仿宋_GB2312"/>
                <w:b/>
                <w:bCs/>
                <w:color w:val="000000"/>
                <w:kern w:val="0"/>
                <w:szCs w:val="21"/>
                <w:lang w:eastAsia="en-US" w:bidi="en-US"/>
              </w:rPr>
              <w:t>20</w:t>
            </w:r>
            <w:r>
              <w:rPr>
                <w:rFonts w:hint="eastAsia" w:ascii="仿宋_GB2312" w:hAnsi="Times New Roman" w:eastAsia="仿宋_GB2312"/>
                <w:b/>
                <w:bCs/>
                <w:color w:val="000000"/>
                <w:kern w:val="0"/>
                <w:szCs w:val="21"/>
                <w:lang w:bidi="en-US"/>
              </w:rPr>
              <w:t>XX</w:t>
            </w:r>
            <w:r>
              <w:rPr>
                <w:rFonts w:hint="eastAsia" w:ascii="仿宋_GB2312" w:hAnsi="Times New Roman" w:eastAsia="仿宋_GB2312"/>
                <w:b/>
                <w:bCs/>
                <w:color w:val="000000"/>
                <w:kern w:val="0"/>
                <w:szCs w:val="21"/>
                <w:lang w:eastAsia="en-US" w:bidi="en-US"/>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总资产（亿元）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总负债（亿元）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全部债务（亿元）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所有者权益（亿元）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营业总收入（亿元）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净利润（亿元）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扣除非经常性损益后净利润（亿元）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szCs w:val="21"/>
              </w:rPr>
            </w:pPr>
            <w:r>
              <w:rPr>
                <w:rFonts w:hint="eastAsia" w:ascii="仿宋_GB2312" w:hAnsi="黑体" w:eastAsia="仿宋_GB2312"/>
                <w:szCs w:val="21"/>
              </w:rPr>
              <w:t>归属于母公司所有者的净利润</w:t>
            </w:r>
            <w:r>
              <w:rPr>
                <w:rFonts w:hint="eastAsia" w:ascii="仿宋_GB2312" w:hAnsi="黑体" w:eastAsia="仿宋_GB2312"/>
                <w:kern w:val="0"/>
                <w:szCs w:val="21"/>
              </w:rPr>
              <w:t>（亿元）</w:t>
            </w:r>
          </w:p>
        </w:tc>
        <w:tc>
          <w:tcPr>
            <w:tcW w:w="1140" w:type="dxa"/>
            <w:vAlign w:val="center"/>
          </w:tcPr>
          <w:p>
            <w:pPr>
              <w:widowControl/>
              <w:adjustRightInd w:val="0"/>
              <w:snapToGrid w:val="0"/>
              <w:rPr>
                <w:rFonts w:ascii="仿宋_GB2312" w:hAnsi="黑体" w:eastAsia="仿宋_GB2312"/>
                <w:szCs w:val="21"/>
              </w:rPr>
            </w:pPr>
          </w:p>
        </w:tc>
        <w:tc>
          <w:tcPr>
            <w:tcW w:w="1104" w:type="dxa"/>
            <w:vAlign w:val="center"/>
          </w:tcPr>
          <w:p>
            <w:pPr>
              <w:widowControl/>
              <w:adjustRightInd w:val="0"/>
              <w:snapToGrid w:val="0"/>
              <w:rPr>
                <w:rFonts w:ascii="仿宋_GB2312" w:hAnsi="黑体" w:eastAsia="仿宋_GB2312"/>
                <w:szCs w:val="21"/>
              </w:rPr>
            </w:pPr>
          </w:p>
        </w:tc>
        <w:tc>
          <w:tcPr>
            <w:tcW w:w="1127" w:type="dxa"/>
            <w:vAlign w:val="center"/>
          </w:tcPr>
          <w:p>
            <w:pPr>
              <w:widowControl/>
              <w:adjustRightInd w:val="0"/>
              <w:snapToGrid w:val="0"/>
              <w:rPr>
                <w:rFonts w:ascii="仿宋_GB2312" w:hAnsi="黑体" w:eastAsia="仿宋_GB2312"/>
                <w:szCs w:val="21"/>
              </w:rPr>
            </w:pPr>
          </w:p>
        </w:tc>
        <w:tc>
          <w:tcPr>
            <w:tcW w:w="1041" w:type="dxa"/>
            <w:vAlign w:val="center"/>
          </w:tcPr>
          <w:p>
            <w:pPr>
              <w:widowControl/>
              <w:adjustRightInd w:val="0"/>
              <w:snapToGrid w:val="0"/>
              <w:rPr>
                <w:rFonts w:ascii="仿宋_GB2312" w:hAnsi="黑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经营活动产生现金流量净额（亿元）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投资活动产生现金流量净额（亿元）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筹资活动产生现金流量净额（亿元）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速动比率</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资产负债率（</w:t>
            </w:r>
            <w:r>
              <w:rPr>
                <w:rFonts w:ascii="仿宋_GB2312" w:hAnsi="黑体" w:eastAsia="仿宋_GB2312"/>
                <w:kern w:val="0"/>
                <w:szCs w:val="21"/>
              </w:rPr>
              <w:t>%）</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营业毛利率（</w:t>
            </w:r>
            <w:r>
              <w:rPr>
                <w:rFonts w:ascii="仿宋_GB2312" w:hAnsi="黑体" w:eastAsia="仿宋_GB2312"/>
                <w:kern w:val="0"/>
                <w:szCs w:val="21"/>
              </w:rPr>
              <w:t>%）</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平均总资产回报率（</w:t>
            </w:r>
            <w:r>
              <w:rPr>
                <w:rFonts w:ascii="仿宋_GB2312" w:hAnsi="黑体" w:eastAsia="仿宋_GB2312"/>
                <w:kern w:val="0"/>
                <w:szCs w:val="21"/>
              </w:rPr>
              <w:t>%）</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加权平均净资产收益率（</w:t>
            </w:r>
            <w:r>
              <w:rPr>
                <w:rFonts w:ascii="仿宋_GB2312" w:hAnsi="黑体" w:eastAsia="仿宋_GB2312"/>
                <w:kern w:val="0"/>
                <w:szCs w:val="21"/>
              </w:rPr>
              <w:t>%）</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ascii="仿宋_GB2312" w:hAnsi="黑体" w:eastAsia="仿宋_GB2312"/>
                <w:kern w:val="0"/>
                <w:szCs w:val="21"/>
              </w:rPr>
              <w:t>EBITDA（亿元）</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ascii="仿宋_GB2312" w:hAnsi="黑体" w:eastAsia="仿宋_GB2312"/>
                <w:kern w:val="0"/>
                <w:szCs w:val="21"/>
              </w:rPr>
              <w:t>EBITDA利息倍数</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应收账款周转率</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965" w:type="dxa"/>
            <w:vAlign w:val="center"/>
          </w:tcPr>
          <w:p>
            <w:pPr>
              <w:widowControl/>
              <w:adjustRightInd w:val="0"/>
              <w:snapToGrid w:val="0"/>
              <w:rPr>
                <w:rFonts w:ascii="仿宋_GB2312" w:hAnsi="黑体" w:eastAsia="仿宋_GB2312"/>
                <w:kern w:val="0"/>
                <w:szCs w:val="21"/>
              </w:rPr>
            </w:pPr>
            <w:r>
              <w:rPr>
                <w:rFonts w:hint="eastAsia" w:ascii="仿宋_GB2312" w:hAnsi="黑体" w:eastAsia="仿宋_GB2312"/>
                <w:kern w:val="0"/>
                <w:szCs w:val="21"/>
              </w:rPr>
              <w:t>存货周转率</w:t>
            </w:r>
          </w:p>
        </w:tc>
        <w:tc>
          <w:tcPr>
            <w:tcW w:w="1140" w:type="dxa"/>
            <w:vAlign w:val="center"/>
          </w:tcPr>
          <w:p>
            <w:pPr>
              <w:widowControl/>
              <w:adjustRightInd w:val="0"/>
              <w:snapToGrid w:val="0"/>
              <w:rPr>
                <w:rFonts w:ascii="仿宋_GB2312" w:hAnsi="黑体" w:eastAsia="仿宋_GB2312"/>
                <w:kern w:val="0"/>
                <w:szCs w:val="21"/>
              </w:rPr>
            </w:pPr>
          </w:p>
        </w:tc>
        <w:tc>
          <w:tcPr>
            <w:tcW w:w="1104" w:type="dxa"/>
            <w:vAlign w:val="center"/>
          </w:tcPr>
          <w:p>
            <w:pPr>
              <w:widowControl/>
              <w:adjustRightInd w:val="0"/>
              <w:snapToGrid w:val="0"/>
              <w:rPr>
                <w:rFonts w:ascii="仿宋_GB2312" w:hAnsi="黑体" w:eastAsia="仿宋_GB2312"/>
                <w:kern w:val="0"/>
                <w:szCs w:val="21"/>
              </w:rPr>
            </w:pPr>
          </w:p>
        </w:tc>
        <w:tc>
          <w:tcPr>
            <w:tcW w:w="1127" w:type="dxa"/>
            <w:vAlign w:val="center"/>
          </w:tcPr>
          <w:p>
            <w:pPr>
              <w:widowControl/>
              <w:adjustRightInd w:val="0"/>
              <w:snapToGrid w:val="0"/>
              <w:rPr>
                <w:rFonts w:ascii="仿宋_GB2312" w:hAnsi="黑体" w:eastAsia="仿宋_GB2312"/>
                <w:kern w:val="0"/>
                <w:szCs w:val="21"/>
              </w:rPr>
            </w:pPr>
          </w:p>
        </w:tc>
        <w:tc>
          <w:tcPr>
            <w:tcW w:w="1041" w:type="dxa"/>
            <w:vAlign w:val="center"/>
          </w:tcPr>
          <w:p>
            <w:pPr>
              <w:widowControl/>
              <w:adjustRightInd w:val="0"/>
              <w:snapToGrid w:val="0"/>
              <w:rPr>
                <w:rFonts w:ascii="仿宋_GB2312" w:hAnsi="黑体" w:eastAsia="仿宋_GB2312"/>
                <w:kern w:val="0"/>
                <w:szCs w:val="21"/>
              </w:rPr>
            </w:pPr>
          </w:p>
        </w:tc>
      </w:tr>
    </w:tbl>
    <w:p>
      <w:pPr>
        <w:widowControl/>
        <w:ind w:firstLine="420" w:firstLineChars="200"/>
        <w:rPr>
          <w:rFonts w:ascii="仿宋_GB2312" w:eastAsia="仿宋_GB2312"/>
          <w:kern w:val="0"/>
          <w:szCs w:val="21"/>
          <w:lang w:bidi="en-US"/>
        </w:rPr>
      </w:pPr>
      <w:r>
        <w:rPr>
          <w:rFonts w:hint="eastAsia" w:ascii="仿宋_GB2312" w:eastAsia="仿宋_GB2312"/>
          <w:kern w:val="0"/>
          <w:szCs w:val="21"/>
          <w:lang w:bidi="en-US"/>
        </w:rPr>
        <w:t>注：全部债务=长期借款+应付债券+短期借款+交易性金融负债+应付票据+应付短期债券+一年内到期的非流动负债</w:t>
      </w:r>
    </w:p>
    <w:p>
      <w:pPr>
        <w:spacing w:line="560" w:lineRule="exact"/>
        <w:ind w:firstLine="640" w:firstLineChars="200"/>
        <w:rPr>
          <w:rFonts w:ascii="仿宋_GB2312" w:eastAsia="仿宋_GB2312"/>
          <w:kern w:val="0"/>
          <w:sz w:val="32"/>
          <w:szCs w:val="32"/>
          <w:lang w:bidi="en-US"/>
        </w:rPr>
      </w:pPr>
      <w:r>
        <w:rPr>
          <w:rFonts w:ascii="仿宋_GB2312" w:eastAsia="仿宋_GB2312"/>
          <w:kern w:val="0"/>
          <w:sz w:val="32"/>
          <w:szCs w:val="32"/>
          <w:lang w:bidi="en-US"/>
        </w:rPr>
        <w:t>[请对发行人主要财务数据和指标进行简要描述，特殊行业发行人可视情况相应调整。]</w:t>
      </w:r>
    </w:p>
    <w:p>
      <w:pPr>
        <w:spacing w:line="560" w:lineRule="exact"/>
        <w:ind w:firstLine="642" w:firstLineChars="200"/>
        <w:rPr>
          <w:rFonts w:ascii="仿宋_GB2312" w:eastAsia="仿宋_GB2312"/>
          <w:b/>
          <w:kern w:val="0"/>
          <w:sz w:val="32"/>
          <w:szCs w:val="32"/>
          <w:lang w:bidi="en-US"/>
        </w:rPr>
      </w:pPr>
      <w:r>
        <w:rPr>
          <w:rFonts w:hint="eastAsia" w:ascii="仿宋_GB2312" w:eastAsia="仿宋_GB2312"/>
          <w:b/>
          <w:kern w:val="0"/>
          <w:sz w:val="32"/>
          <w:szCs w:val="32"/>
          <w:lang w:bidi="en-US"/>
        </w:rPr>
        <w:t>（二）债券情况分析</w:t>
      </w:r>
    </w:p>
    <w:p>
      <w:pPr>
        <w:pStyle w:val="22"/>
        <w:spacing w:line="560" w:lineRule="exact"/>
        <w:ind w:firstLine="640"/>
        <w:rPr>
          <w:sz w:val="32"/>
          <w:szCs w:val="32"/>
        </w:rPr>
      </w:pPr>
      <w:r>
        <w:rPr>
          <w:sz w:val="32"/>
          <w:szCs w:val="32"/>
        </w:rPr>
        <w:t>1.存续债券</w:t>
      </w:r>
    </w:p>
    <w:p>
      <w:pPr>
        <w:pStyle w:val="22"/>
        <w:spacing w:line="560" w:lineRule="exact"/>
        <w:ind w:firstLine="640"/>
        <w:rPr>
          <w:sz w:val="32"/>
          <w:szCs w:val="32"/>
        </w:rPr>
      </w:pPr>
      <w:r>
        <w:rPr>
          <w:rFonts w:hint="eastAsia"/>
          <w:sz w:val="32"/>
          <w:szCs w:val="32"/>
        </w:rPr>
        <w:t>截至募集说明书签署日，发行人及其合并范围内子公司已发行尚未兑付的债券情况如下：</w:t>
      </w:r>
    </w:p>
    <w:p>
      <w:pPr>
        <w:jc w:val="right"/>
        <w:rPr>
          <w:rFonts w:ascii="仿宋_GB2312" w:hAnsi="Times New Roman" w:eastAsia="仿宋_GB2312"/>
          <w:szCs w:val="21"/>
        </w:rPr>
      </w:pPr>
      <w:r>
        <w:rPr>
          <w:rFonts w:hint="eastAsia" w:ascii="仿宋_GB2312" w:hAnsi="Times New Roman" w:eastAsia="仿宋_GB2312"/>
          <w:szCs w:val="21"/>
        </w:rPr>
        <w:t>单位：亿元、年、%</w:t>
      </w:r>
    </w:p>
    <w:tbl>
      <w:tblPr>
        <w:tblStyle w:val="10"/>
        <w:tblW w:w="54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44"/>
        <w:gridCol w:w="1941"/>
        <w:gridCol w:w="986"/>
        <w:gridCol w:w="992"/>
        <w:gridCol w:w="992"/>
        <w:gridCol w:w="851"/>
        <w:gridCol w:w="1134"/>
        <w:gridCol w:w="924"/>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19" w:type="dxa"/>
            <w:gridSpan w:val="2"/>
            <w:vAlign w:val="center"/>
          </w:tcPr>
          <w:p>
            <w:pPr>
              <w:widowControl/>
              <w:jc w:val="center"/>
              <w:rPr>
                <w:rFonts w:ascii="仿宋_GB2312" w:eastAsia="仿宋_GB2312"/>
                <w:b/>
                <w:bCs/>
                <w:kern w:val="0"/>
                <w:szCs w:val="21"/>
              </w:rPr>
            </w:pPr>
            <w:r>
              <w:rPr>
                <w:rFonts w:hint="eastAsia" w:ascii="仿宋_GB2312" w:eastAsia="仿宋_GB2312"/>
                <w:b/>
                <w:bCs/>
                <w:kern w:val="0"/>
                <w:szCs w:val="21"/>
              </w:rPr>
              <w:t>序号</w:t>
            </w:r>
          </w:p>
        </w:tc>
        <w:tc>
          <w:tcPr>
            <w:tcW w:w="1941" w:type="dxa"/>
            <w:vAlign w:val="center"/>
          </w:tcPr>
          <w:p>
            <w:pPr>
              <w:widowControl/>
              <w:jc w:val="center"/>
              <w:rPr>
                <w:rFonts w:ascii="仿宋_GB2312" w:eastAsia="仿宋_GB2312"/>
                <w:b/>
                <w:bCs/>
                <w:kern w:val="0"/>
                <w:szCs w:val="21"/>
              </w:rPr>
            </w:pPr>
            <w:r>
              <w:rPr>
                <w:rFonts w:hint="eastAsia" w:ascii="仿宋_GB2312" w:eastAsia="仿宋_GB2312"/>
                <w:b/>
                <w:bCs/>
                <w:kern w:val="0"/>
                <w:szCs w:val="21"/>
              </w:rPr>
              <w:t>债券简称</w:t>
            </w:r>
          </w:p>
        </w:tc>
        <w:tc>
          <w:tcPr>
            <w:tcW w:w="986" w:type="dxa"/>
            <w:vAlign w:val="center"/>
          </w:tcPr>
          <w:p>
            <w:pPr>
              <w:widowControl/>
              <w:jc w:val="center"/>
              <w:rPr>
                <w:rFonts w:ascii="仿宋_GB2312" w:eastAsia="仿宋_GB2312"/>
                <w:b/>
                <w:bCs/>
                <w:kern w:val="0"/>
                <w:szCs w:val="21"/>
              </w:rPr>
            </w:pPr>
            <w:r>
              <w:rPr>
                <w:rFonts w:hint="eastAsia" w:ascii="仿宋_GB2312" w:eastAsia="仿宋_GB2312"/>
                <w:b/>
                <w:bCs/>
                <w:kern w:val="0"/>
                <w:szCs w:val="21"/>
              </w:rPr>
              <w:t>发行</w:t>
            </w:r>
          </w:p>
          <w:p>
            <w:pPr>
              <w:widowControl/>
              <w:jc w:val="center"/>
              <w:rPr>
                <w:rFonts w:ascii="仿宋_GB2312" w:eastAsia="仿宋_GB2312"/>
                <w:b/>
                <w:bCs/>
                <w:kern w:val="0"/>
                <w:szCs w:val="21"/>
              </w:rPr>
            </w:pPr>
            <w:r>
              <w:rPr>
                <w:rFonts w:hint="eastAsia" w:ascii="仿宋_GB2312" w:eastAsia="仿宋_GB2312"/>
                <w:b/>
                <w:bCs/>
                <w:kern w:val="0"/>
                <w:szCs w:val="21"/>
              </w:rPr>
              <w:t>日期</w:t>
            </w:r>
          </w:p>
        </w:tc>
        <w:tc>
          <w:tcPr>
            <w:tcW w:w="992" w:type="dxa"/>
            <w:vAlign w:val="center"/>
          </w:tcPr>
          <w:p>
            <w:pPr>
              <w:widowControl/>
              <w:jc w:val="center"/>
              <w:rPr>
                <w:rFonts w:ascii="仿宋_GB2312" w:eastAsia="仿宋_GB2312"/>
                <w:b/>
                <w:bCs/>
                <w:kern w:val="0"/>
                <w:szCs w:val="21"/>
              </w:rPr>
            </w:pPr>
            <w:r>
              <w:rPr>
                <w:rFonts w:hint="eastAsia" w:ascii="仿宋_GB2312" w:eastAsia="仿宋_GB2312"/>
                <w:b/>
                <w:bCs/>
                <w:kern w:val="0"/>
                <w:szCs w:val="21"/>
              </w:rPr>
              <w:t>回售</w:t>
            </w:r>
          </w:p>
          <w:p>
            <w:pPr>
              <w:widowControl/>
              <w:jc w:val="center"/>
              <w:rPr>
                <w:rFonts w:ascii="仿宋_GB2312" w:eastAsia="仿宋_GB2312"/>
                <w:b/>
                <w:bCs/>
                <w:kern w:val="0"/>
                <w:szCs w:val="21"/>
              </w:rPr>
            </w:pPr>
            <w:r>
              <w:rPr>
                <w:rFonts w:hint="eastAsia" w:ascii="仿宋_GB2312" w:eastAsia="仿宋_GB2312"/>
                <w:b/>
                <w:bCs/>
                <w:kern w:val="0"/>
                <w:szCs w:val="21"/>
              </w:rPr>
              <w:t>日期</w:t>
            </w:r>
          </w:p>
          <w:p>
            <w:pPr>
              <w:widowControl/>
              <w:jc w:val="center"/>
              <w:rPr>
                <w:rFonts w:ascii="仿宋_GB2312" w:eastAsia="仿宋_GB2312"/>
                <w:b/>
                <w:bCs/>
                <w:kern w:val="0"/>
                <w:szCs w:val="21"/>
              </w:rPr>
            </w:pPr>
            <w:r>
              <w:rPr>
                <w:rFonts w:hint="eastAsia" w:ascii="仿宋_GB2312" w:eastAsia="仿宋_GB2312"/>
                <w:b/>
                <w:bCs/>
                <w:kern w:val="0"/>
                <w:szCs w:val="21"/>
              </w:rPr>
              <w:t>（如有）</w:t>
            </w:r>
          </w:p>
        </w:tc>
        <w:tc>
          <w:tcPr>
            <w:tcW w:w="992" w:type="dxa"/>
            <w:vAlign w:val="center"/>
          </w:tcPr>
          <w:p>
            <w:pPr>
              <w:widowControl/>
              <w:jc w:val="center"/>
              <w:rPr>
                <w:rFonts w:ascii="仿宋_GB2312" w:eastAsia="仿宋_GB2312"/>
                <w:b/>
                <w:bCs/>
                <w:kern w:val="0"/>
                <w:szCs w:val="21"/>
              </w:rPr>
            </w:pPr>
            <w:r>
              <w:rPr>
                <w:rFonts w:hint="eastAsia" w:ascii="仿宋_GB2312" w:eastAsia="仿宋_GB2312"/>
                <w:b/>
                <w:bCs/>
                <w:kern w:val="0"/>
                <w:szCs w:val="21"/>
              </w:rPr>
              <w:t>到期</w:t>
            </w:r>
          </w:p>
          <w:p>
            <w:pPr>
              <w:widowControl/>
              <w:jc w:val="center"/>
              <w:rPr>
                <w:rFonts w:ascii="仿宋_GB2312" w:eastAsia="仿宋_GB2312"/>
                <w:b/>
                <w:bCs/>
                <w:kern w:val="0"/>
                <w:szCs w:val="21"/>
              </w:rPr>
            </w:pPr>
            <w:r>
              <w:rPr>
                <w:rFonts w:hint="eastAsia" w:ascii="仿宋_GB2312" w:eastAsia="仿宋_GB2312"/>
                <w:b/>
                <w:bCs/>
                <w:kern w:val="0"/>
                <w:szCs w:val="21"/>
              </w:rPr>
              <w:t>日期</w:t>
            </w:r>
          </w:p>
        </w:tc>
        <w:tc>
          <w:tcPr>
            <w:tcW w:w="851" w:type="dxa"/>
            <w:vAlign w:val="center"/>
          </w:tcPr>
          <w:p>
            <w:pPr>
              <w:widowControl/>
              <w:jc w:val="center"/>
              <w:rPr>
                <w:rFonts w:ascii="仿宋_GB2312" w:eastAsia="仿宋_GB2312"/>
                <w:b/>
                <w:bCs/>
                <w:kern w:val="0"/>
                <w:szCs w:val="21"/>
              </w:rPr>
            </w:pPr>
            <w:r>
              <w:rPr>
                <w:rFonts w:hint="eastAsia" w:ascii="仿宋_GB2312" w:eastAsia="仿宋_GB2312"/>
                <w:b/>
                <w:bCs/>
                <w:kern w:val="0"/>
                <w:szCs w:val="21"/>
              </w:rPr>
              <w:t>债券</w:t>
            </w:r>
          </w:p>
          <w:p>
            <w:pPr>
              <w:widowControl/>
              <w:jc w:val="center"/>
              <w:rPr>
                <w:rFonts w:ascii="仿宋_GB2312" w:eastAsia="仿宋_GB2312"/>
                <w:b/>
                <w:bCs/>
                <w:kern w:val="0"/>
                <w:szCs w:val="21"/>
              </w:rPr>
            </w:pPr>
            <w:r>
              <w:rPr>
                <w:rFonts w:hint="eastAsia" w:ascii="仿宋_GB2312" w:eastAsia="仿宋_GB2312"/>
                <w:b/>
                <w:bCs/>
                <w:kern w:val="0"/>
                <w:szCs w:val="21"/>
              </w:rPr>
              <w:t>期限</w:t>
            </w:r>
          </w:p>
        </w:tc>
        <w:tc>
          <w:tcPr>
            <w:tcW w:w="1134" w:type="dxa"/>
            <w:vAlign w:val="center"/>
          </w:tcPr>
          <w:p>
            <w:pPr>
              <w:widowControl/>
              <w:jc w:val="center"/>
              <w:rPr>
                <w:rFonts w:ascii="仿宋_GB2312" w:eastAsia="仿宋_GB2312"/>
                <w:b/>
                <w:bCs/>
                <w:kern w:val="0"/>
                <w:szCs w:val="21"/>
              </w:rPr>
            </w:pPr>
            <w:r>
              <w:rPr>
                <w:rFonts w:hint="eastAsia" w:ascii="仿宋_GB2312" w:eastAsia="仿宋_GB2312"/>
                <w:b/>
                <w:bCs/>
                <w:kern w:val="0"/>
                <w:szCs w:val="21"/>
              </w:rPr>
              <w:t>发行</w:t>
            </w:r>
          </w:p>
          <w:p>
            <w:pPr>
              <w:widowControl/>
              <w:jc w:val="center"/>
              <w:rPr>
                <w:rFonts w:ascii="仿宋_GB2312" w:eastAsia="仿宋_GB2312"/>
                <w:b/>
                <w:bCs/>
                <w:kern w:val="0"/>
                <w:szCs w:val="21"/>
              </w:rPr>
            </w:pPr>
            <w:r>
              <w:rPr>
                <w:rFonts w:hint="eastAsia" w:ascii="仿宋_GB2312" w:eastAsia="仿宋_GB2312"/>
                <w:b/>
                <w:bCs/>
                <w:kern w:val="0"/>
                <w:szCs w:val="21"/>
              </w:rPr>
              <w:t>规模</w:t>
            </w:r>
          </w:p>
        </w:tc>
        <w:tc>
          <w:tcPr>
            <w:tcW w:w="924" w:type="dxa"/>
            <w:vAlign w:val="center"/>
          </w:tcPr>
          <w:p>
            <w:pPr>
              <w:widowControl/>
              <w:jc w:val="center"/>
              <w:rPr>
                <w:rFonts w:ascii="仿宋_GB2312" w:eastAsia="仿宋_GB2312"/>
                <w:b/>
                <w:bCs/>
                <w:kern w:val="0"/>
                <w:szCs w:val="21"/>
              </w:rPr>
            </w:pPr>
            <w:r>
              <w:rPr>
                <w:rFonts w:hint="eastAsia" w:ascii="仿宋_GB2312" w:eastAsia="仿宋_GB2312"/>
                <w:b/>
                <w:bCs/>
                <w:kern w:val="0"/>
                <w:szCs w:val="21"/>
              </w:rPr>
              <w:t>发行</w:t>
            </w:r>
          </w:p>
          <w:p>
            <w:pPr>
              <w:widowControl/>
              <w:jc w:val="center"/>
              <w:rPr>
                <w:rFonts w:ascii="仿宋_GB2312" w:eastAsia="仿宋_GB2312"/>
                <w:b/>
                <w:bCs/>
                <w:kern w:val="0"/>
                <w:szCs w:val="21"/>
              </w:rPr>
            </w:pPr>
            <w:r>
              <w:rPr>
                <w:rFonts w:hint="eastAsia" w:ascii="仿宋_GB2312" w:eastAsia="仿宋_GB2312"/>
                <w:b/>
                <w:bCs/>
                <w:kern w:val="0"/>
                <w:szCs w:val="21"/>
              </w:rPr>
              <w:t>利率</w:t>
            </w:r>
          </w:p>
        </w:tc>
        <w:tc>
          <w:tcPr>
            <w:tcW w:w="833" w:type="dxa"/>
            <w:vAlign w:val="center"/>
          </w:tcPr>
          <w:p>
            <w:pPr>
              <w:widowControl/>
              <w:jc w:val="center"/>
              <w:rPr>
                <w:rFonts w:ascii="仿宋_GB2312" w:eastAsia="仿宋_GB2312"/>
                <w:b/>
                <w:bCs/>
                <w:kern w:val="0"/>
                <w:szCs w:val="21"/>
              </w:rPr>
            </w:pPr>
            <w:r>
              <w:rPr>
                <w:rFonts w:hint="eastAsia" w:ascii="仿宋_GB2312" w:eastAsia="仿宋_GB2312"/>
                <w:b/>
                <w:bCs/>
                <w:kern w:val="0"/>
                <w:szCs w:val="21"/>
              </w:rPr>
              <w:t>余额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gridSpan w:val="2"/>
            <w:vAlign w:val="center"/>
          </w:tcPr>
          <w:p>
            <w:pPr>
              <w:widowControl/>
              <w:rPr>
                <w:rFonts w:ascii="仿宋_GB2312" w:eastAsia="仿宋_GB2312"/>
                <w:kern w:val="0"/>
                <w:szCs w:val="21"/>
              </w:rPr>
            </w:pPr>
            <w:r>
              <w:rPr>
                <w:rFonts w:hint="eastAsia" w:ascii="仿宋_GB2312" w:eastAsia="仿宋_GB2312"/>
                <w:kern w:val="0"/>
                <w:szCs w:val="21"/>
              </w:rPr>
              <w:t>1</w:t>
            </w:r>
          </w:p>
        </w:tc>
        <w:tc>
          <w:tcPr>
            <w:tcW w:w="1941" w:type="dxa"/>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gridSpan w:val="2"/>
            <w:vAlign w:val="center"/>
          </w:tcPr>
          <w:p>
            <w:pPr>
              <w:widowControl/>
              <w:rPr>
                <w:rFonts w:ascii="仿宋_GB2312" w:eastAsia="仿宋_GB2312"/>
                <w:kern w:val="0"/>
                <w:szCs w:val="21"/>
              </w:rPr>
            </w:pPr>
            <w:r>
              <w:rPr>
                <w:rFonts w:hint="eastAsia" w:ascii="仿宋_GB2312" w:eastAsia="仿宋_GB2312"/>
                <w:kern w:val="0"/>
                <w:szCs w:val="21"/>
              </w:rPr>
              <w:t>2</w:t>
            </w:r>
          </w:p>
        </w:tc>
        <w:tc>
          <w:tcPr>
            <w:tcW w:w="1941" w:type="dxa"/>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0" w:type="dxa"/>
            <w:gridSpan w:val="3"/>
            <w:vAlign w:val="center"/>
          </w:tcPr>
          <w:p>
            <w:pPr>
              <w:widowControl/>
              <w:rPr>
                <w:rFonts w:ascii="仿宋_GB2312" w:eastAsia="仿宋_GB2312"/>
                <w:kern w:val="0"/>
                <w:szCs w:val="21"/>
              </w:rPr>
            </w:pPr>
            <w:r>
              <w:rPr>
                <w:rFonts w:hint="eastAsia" w:ascii="仿宋_GB2312" w:eastAsia="仿宋_GB2312"/>
                <w:kern w:val="0"/>
                <w:szCs w:val="21"/>
              </w:rPr>
              <w:t>公募公司债券小计</w:t>
            </w: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vAlign w:val="center"/>
          </w:tcPr>
          <w:p>
            <w:pPr>
              <w:widowControl/>
              <w:rPr>
                <w:rFonts w:ascii="仿宋_GB2312" w:eastAsia="仿宋_GB2312"/>
                <w:kern w:val="0"/>
                <w:szCs w:val="21"/>
              </w:rPr>
            </w:pPr>
            <w:r>
              <w:rPr>
                <w:rFonts w:hint="eastAsia" w:ascii="仿宋_GB2312" w:eastAsia="仿宋_GB2312"/>
                <w:kern w:val="0"/>
                <w:szCs w:val="21"/>
              </w:rPr>
              <w:t>3</w:t>
            </w:r>
          </w:p>
        </w:tc>
        <w:tc>
          <w:tcPr>
            <w:tcW w:w="1985" w:type="dxa"/>
            <w:gridSpan w:val="2"/>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5" w:type="dxa"/>
            <w:vAlign w:val="center"/>
          </w:tcPr>
          <w:p>
            <w:pPr>
              <w:widowControl/>
              <w:rPr>
                <w:rFonts w:ascii="仿宋_GB2312" w:eastAsia="仿宋_GB2312"/>
                <w:kern w:val="0"/>
                <w:szCs w:val="21"/>
              </w:rPr>
            </w:pPr>
            <w:r>
              <w:rPr>
                <w:rFonts w:hint="eastAsia" w:ascii="仿宋_GB2312" w:eastAsia="仿宋_GB2312"/>
                <w:kern w:val="0"/>
                <w:szCs w:val="21"/>
              </w:rPr>
              <w:t>4</w:t>
            </w:r>
          </w:p>
        </w:tc>
        <w:tc>
          <w:tcPr>
            <w:tcW w:w="1985" w:type="dxa"/>
            <w:gridSpan w:val="2"/>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0" w:type="dxa"/>
            <w:gridSpan w:val="3"/>
            <w:vAlign w:val="center"/>
          </w:tcPr>
          <w:p>
            <w:pPr>
              <w:widowControl/>
              <w:rPr>
                <w:rFonts w:ascii="仿宋_GB2312" w:eastAsia="仿宋_GB2312"/>
                <w:kern w:val="0"/>
                <w:szCs w:val="21"/>
              </w:rPr>
            </w:pPr>
            <w:r>
              <w:rPr>
                <w:rFonts w:hint="eastAsia" w:ascii="仿宋_GB2312" w:eastAsia="仿宋_GB2312"/>
                <w:kern w:val="0"/>
                <w:szCs w:val="21"/>
              </w:rPr>
              <w:t>私募公司债券小计</w:t>
            </w: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0" w:type="dxa"/>
            <w:gridSpan w:val="3"/>
            <w:vAlign w:val="center"/>
          </w:tcPr>
          <w:p>
            <w:pPr>
              <w:widowControl/>
              <w:rPr>
                <w:rFonts w:ascii="仿宋_GB2312" w:eastAsia="仿宋_GB2312"/>
                <w:kern w:val="0"/>
                <w:szCs w:val="21"/>
              </w:rPr>
            </w:pPr>
            <w:r>
              <w:rPr>
                <w:rFonts w:hint="eastAsia" w:ascii="仿宋_GB2312" w:eastAsia="仿宋_GB2312"/>
                <w:kern w:val="0"/>
                <w:szCs w:val="21"/>
              </w:rPr>
              <w:t>公司</w:t>
            </w:r>
            <w:r>
              <w:rPr>
                <w:rFonts w:ascii="仿宋_GB2312" w:eastAsia="仿宋_GB2312"/>
                <w:kern w:val="0"/>
                <w:szCs w:val="21"/>
              </w:rPr>
              <w:t>债券</w:t>
            </w:r>
            <w:r>
              <w:rPr>
                <w:rFonts w:hint="eastAsia" w:ascii="仿宋_GB2312" w:eastAsia="仿宋_GB2312"/>
                <w:kern w:val="0"/>
                <w:szCs w:val="21"/>
              </w:rPr>
              <w:t>小计</w:t>
            </w: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gridSpan w:val="2"/>
            <w:vAlign w:val="center"/>
          </w:tcPr>
          <w:p>
            <w:pPr>
              <w:widowControl/>
              <w:rPr>
                <w:rFonts w:ascii="仿宋_GB2312" w:eastAsia="仿宋_GB2312"/>
                <w:kern w:val="0"/>
                <w:szCs w:val="21"/>
              </w:rPr>
            </w:pPr>
            <w:r>
              <w:rPr>
                <w:rFonts w:ascii="仿宋_GB2312" w:eastAsia="仿宋_GB2312"/>
                <w:kern w:val="0"/>
                <w:szCs w:val="21"/>
              </w:rPr>
              <w:t>5</w:t>
            </w:r>
          </w:p>
        </w:tc>
        <w:tc>
          <w:tcPr>
            <w:tcW w:w="1941" w:type="dxa"/>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gridSpan w:val="2"/>
            <w:vAlign w:val="center"/>
          </w:tcPr>
          <w:p>
            <w:pPr>
              <w:widowControl/>
              <w:rPr>
                <w:rFonts w:ascii="仿宋_GB2312" w:eastAsia="仿宋_GB2312"/>
                <w:kern w:val="0"/>
                <w:szCs w:val="21"/>
              </w:rPr>
            </w:pPr>
            <w:r>
              <w:rPr>
                <w:rFonts w:ascii="仿宋_GB2312" w:eastAsia="仿宋_GB2312"/>
                <w:kern w:val="0"/>
                <w:szCs w:val="21"/>
              </w:rPr>
              <w:t>6</w:t>
            </w:r>
          </w:p>
        </w:tc>
        <w:tc>
          <w:tcPr>
            <w:tcW w:w="1941" w:type="dxa"/>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0" w:type="dxa"/>
            <w:gridSpan w:val="3"/>
            <w:vAlign w:val="center"/>
          </w:tcPr>
          <w:p>
            <w:pPr>
              <w:widowControl/>
              <w:rPr>
                <w:rFonts w:ascii="仿宋_GB2312" w:eastAsia="仿宋_GB2312"/>
                <w:kern w:val="0"/>
                <w:szCs w:val="21"/>
              </w:rPr>
            </w:pPr>
            <w:r>
              <w:rPr>
                <w:rFonts w:hint="eastAsia" w:ascii="仿宋_GB2312" w:eastAsia="仿宋_GB2312"/>
                <w:kern w:val="0"/>
                <w:szCs w:val="21"/>
              </w:rPr>
              <w:t>债务融资工具小计</w:t>
            </w: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gridSpan w:val="2"/>
            <w:vAlign w:val="center"/>
          </w:tcPr>
          <w:p>
            <w:pPr>
              <w:widowControl/>
              <w:rPr>
                <w:rFonts w:ascii="仿宋_GB2312" w:eastAsia="仿宋_GB2312"/>
                <w:kern w:val="0"/>
                <w:szCs w:val="21"/>
              </w:rPr>
            </w:pPr>
            <w:r>
              <w:rPr>
                <w:rFonts w:ascii="仿宋_GB2312" w:eastAsia="仿宋_GB2312"/>
                <w:kern w:val="0"/>
                <w:szCs w:val="21"/>
              </w:rPr>
              <w:t>7</w:t>
            </w:r>
          </w:p>
        </w:tc>
        <w:tc>
          <w:tcPr>
            <w:tcW w:w="1941" w:type="dxa"/>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gridSpan w:val="2"/>
            <w:vAlign w:val="center"/>
          </w:tcPr>
          <w:p>
            <w:pPr>
              <w:widowControl/>
              <w:rPr>
                <w:rFonts w:ascii="仿宋_GB2312" w:eastAsia="仿宋_GB2312"/>
                <w:kern w:val="0"/>
                <w:szCs w:val="21"/>
              </w:rPr>
            </w:pPr>
            <w:r>
              <w:rPr>
                <w:rFonts w:ascii="仿宋_GB2312" w:eastAsia="仿宋_GB2312"/>
                <w:kern w:val="0"/>
                <w:szCs w:val="21"/>
              </w:rPr>
              <w:t>8</w:t>
            </w:r>
          </w:p>
        </w:tc>
        <w:tc>
          <w:tcPr>
            <w:tcW w:w="1941" w:type="dxa"/>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0" w:type="dxa"/>
            <w:gridSpan w:val="3"/>
            <w:vAlign w:val="center"/>
          </w:tcPr>
          <w:p>
            <w:pPr>
              <w:widowControl/>
              <w:rPr>
                <w:rFonts w:ascii="仿宋_GB2312" w:eastAsia="仿宋_GB2312"/>
                <w:kern w:val="0"/>
                <w:szCs w:val="21"/>
              </w:rPr>
            </w:pPr>
            <w:r>
              <w:rPr>
                <w:rFonts w:hint="eastAsia" w:ascii="仿宋_GB2312" w:eastAsia="仿宋_GB2312"/>
                <w:kern w:val="0"/>
                <w:szCs w:val="21"/>
              </w:rPr>
              <w:t>企业债券小计</w:t>
            </w: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gridSpan w:val="2"/>
            <w:vAlign w:val="center"/>
          </w:tcPr>
          <w:p>
            <w:pPr>
              <w:widowControl/>
              <w:rPr>
                <w:rFonts w:ascii="仿宋_GB2312" w:eastAsia="仿宋_GB2312"/>
                <w:kern w:val="0"/>
                <w:szCs w:val="21"/>
              </w:rPr>
            </w:pPr>
            <w:r>
              <w:rPr>
                <w:rFonts w:ascii="仿宋_GB2312" w:eastAsia="仿宋_GB2312"/>
                <w:kern w:val="0"/>
                <w:szCs w:val="21"/>
              </w:rPr>
              <w:t>9</w:t>
            </w:r>
          </w:p>
        </w:tc>
        <w:tc>
          <w:tcPr>
            <w:tcW w:w="1941" w:type="dxa"/>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gridSpan w:val="2"/>
            <w:vAlign w:val="center"/>
          </w:tcPr>
          <w:p>
            <w:pPr>
              <w:widowControl/>
              <w:rPr>
                <w:rFonts w:ascii="仿宋_GB2312" w:eastAsia="仿宋_GB2312"/>
                <w:kern w:val="0"/>
                <w:szCs w:val="21"/>
              </w:rPr>
            </w:pPr>
            <w:r>
              <w:rPr>
                <w:rFonts w:ascii="仿宋_GB2312" w:eastAsia="仿宋_GB2312"/>
                <w:kern w:val="0"/>
                <w:szCs w:val="21"/>
              </w:rPr>
              <w:t>10</w:t>
            </w:r>
          </w:p>
        </w:tc>
        <w:tc>
          <w:tcPr>
            <w:tcW w:w="1941" w:type="dxa"/>
            <w:vAlign w:val="center"/>
          </w:tcPr>
          <w:p>
            <w:pPr>
              <w:widowControl/>
              <w:rPr>
                <w:rFonts w:ascii="仿宋_GB2312" w:eastAsia="仿宋_GB2312"/>
                <w:kern w:val="0"/>
                <w:szCs w:val="21"/>
              </w:rPr>
            </w:pP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0" w:type="dxa"/>
            <w:gridSpan w:val="3"/>
            <w:vAlign w:val="center"/>
          </w:tcPr>
          <w:p>
            <w:pPr>
              <w:widowControl/>
              <w:rPr>
                <w:rFonts w:ascii="仿宋_GB2312" w:eastAsia="仿宋_GB2312"/>
                <w:kern w:val="0"/>
                <w:szCs w:val="21"/>
              </w:rPr>
            </w:pPr>
            <w:r>
              <w:rPr>
                <w:rFonts w:hint="eastAsia" w:ascii="仿宋_GB2312" w:eastAsia="仿宋_GB2312"/>
                <w:kern w:val="0"/>
                <w:szCs w:val="21"/>
              </w:rPr>
              <w:t>其他小计</w:t>
            </w: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60" w:type="dxa"/>
            <w:gridSpan w:val="3"/>
            <w:vAlign w:val="center"/>
          </w:tcPr>
          <w:p>
            <w:pPr>
              <w:widowControl/>
              <w:jc w:val="center"/>
              <w:rPr>
                <w:rFonts w:ascii="仿宋_GB2312" w:eastAsia="仿宋_GB2312"/>
                <w:b/>
                <w:kern w:val="0"/>
                <w:szCs w:val="21"/>
              </w:rPr>
            </w:pPr>
            <w:r>
              <w:rPr>
                <w:rFonts w:hint="eastAsia" w:ascii="仿宋_GB2312" w:eastAsia="仿宋_GB2312"/>
                <w:b/>
                <w:kern w:val="0"/>
                <w:szCs w:val="21"/>
              </w:rPr>
              <w:t>合计</w:t>
            </w:r>
          </w:p>
        </w:tc>
        <w:tc>
          <w:tcPr>
            <w:tcW w:w="986"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992" w:type="dxa"/>
            <w:vAlign w:val="center"/>
          </w:tcPr>
          <w:p>
            <w:pPr>
              <w:widowControl/>
              <w:rPr>
                <w:rFonts w:ascii="仿宋_GB2312" w:eastAsia="仿宋_GB2312"/>
                <w:kern w:val="0"/>
                <w:szCs w:val="21"/>
              </w:rPr>
            </w:pPr>
          </w:p>
        </w:tc>
        <w:tc>
          <w:tcPr>
            <w:tcW w:w="851" w:type="dxa"/>
            <w:vAlign w:val="center"/>
          </w:tcPr>
          <w:p>
            <w:pPr>
              <w:widowControl/>
              <w:rPr>
                <w:rFonts w:ascii="仿宋_GB2312" w:eastAsia="仿宋_GB2312"/>
                <w:kern w:val="0"/>
                <w:szCs w:val="21"/>
              </w:rPr>
            </w:pPr>
          </w:p>
        </w:tc>
        <w:tc>
          <w:tcPr>
            <w:tcW w:w="1134" w:type="dxa"/>
            <w:vAlign w:val="center"/>
          </w:tcPr>
          <w:p>
            <w:pPr>
              <w:widowControl/>
              <w:rPr>
                <w:rFonts w:ascii="仿宋_GB2312" w:eastAsia="仿宋_GB2312"/>
                <w:kern w:val="0"/>
                <w:szCs w:val="21"/>
              </w:rPr>
            </w:pPr>
          </w:p>
        </w:tc>
        <w:tc>
          <w:tcPr>
            <w:tcW w:w="924" w:type="dxa"/>
            <w:vAlign w:val="center"/>
          </w:tcPr>
          <w:p>
            <w:pPr>
              <w:widowControl/>
              <w:rPr>
                <w:rFonts w:ascii="仿宋_GB2312" w:eastAsia="仿宋_GB2312"/>
                <w:kern w:val="0"/>
                <w:szCs w:val="21"/>
              </w:rPr>
            </w:pPr>
          </w:p>
        </w:tc>
        <w:tc>
          <w:tcPr>
            <w:tcW w:w="833" w:type="dxa"/>
            <w:vAlign w:val="center"/>
          </w:tcPr>
          <w:p>
            <w:pPr>
              <w:widowControl/>
              <w:rPr>
                <w:rFonts w:ascii="仿宋_GB2312" w:eastAsia="仿宋_GB2312"/>
                <w:kern w:val="0"/>
                <w:szCs w:val="21"/>
              </w:rPr>
            </w:pPr>
          </w:p>
        </w:tc>
      </w:tr>
    </w:tbl>
    <w:p>
      <w:pPr>
        <w:pStyle w:val="22"/>
        <w:spacing w:line="560" w:lineRule="exact"/>
        <w:ind w:firstLine="640"/>
        <w:rPr>
          <w:sz w:val="32"/>
          <w:szCs w:val="32"/>
        </w:rPr>
      </w:pPr>
      <w:r>
        <w:rPr>
          <w:sz w:val="32"/>
          <w:szCs w:val="32"/>
        </w:rPr>
        <w:t>2.在手批文</w:t>
      </w:r>
    </w:p>
    <w:p>
      <w:pPr>
        <w:pStyle w:val="22"/>
        <w:spacing w:line="560" w:lineRule="exact"/>
        <w:ind w:firstLine="640"/>
        <w:rPr>
          <w:sz w:val="32"/>
          <w:szCs w:val="32"/>
        </w:rPr>
      </w:pPr>
      <w:r>
        <w:rPr>
          <w:rFonts w:hint="eastAsia"/>
          <w:sz w:val="32"/>
          <w:szCs w:val="32"/>
        </w:rPr>
        <w:t>截至募集说明书签署日，发行人及子公司存在已注册尚未发行的债券，具体情况如下：</w:t>
      </w:r>
    </w:p>
    <w:p>
      <w:pPr>
        <w:ind w:firstLine="420" w:firstLineChars="200"/>
        <w:jc w:val="right"/>
        <w:rPr>
          <w:rFonts w:ascii="仿宋_GB2312" w:hAnsi="Times New Roman" w:eastAsia="仿宋_GB2312"/>
          <w:szCs w:val="21"/>
        </w:rPr>
      </w:pPr>
      <w:r>
        <w:rPr>
          <w:rFonts w:ascii="仿宋_GB2312" w:hAnsi="Times New Roman" w:eastAsia="仿宋_GB2312"/>
          <w:szCs w:val="21"/>
        </w:rPr>
        <w:t>单位：亿元</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173"/>
        <w:gridCol w:w="1499"/>
        <w:gridCol w:w="1379"/>
        <w:gridCol w:w="1335"/>
        <w:gridCol w:w="930"/>
        <w:gridCol w:w="988"/>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97" w:type="dxa"/>
            <w:vAlign w:val="center"/>
          </w:tcPr>
          <w:p>
            <w:pPr>
              <w:widowControl/>
              <w:jc w:val="center"/>
              <w:rPr>
                <w:rFonts w:ascii="仿宋_GB2312" w:hAnsi="Times New Roman" w:eastAsia="仿宋_GB2312"/>
                <w:b/>
                <w:bCs/>
                <w:color w:val="000000"/>
                <w:kern w:val="0"/>
                <w:szCs w:val="21"/>
              </w:rPr>
            </w:pPr>
            <w:r>
              <w:rPr>
                <w:rFonts w:ascii="仿宋_GB2312" w:hAnsi="Times New Roman" w:eastAsia="仿宋_GB2312"/>
                <w:b/>
                <w:bCs/>
                <w:color w:val="000000"/>
                <w:kern w:val="0"/>
                <w:szCs w:val="21"/>
              </w:rPr>
              <w:t>序号</w:t>
            </w:r>
          </w:p>
        </w:tc>
        <w:tc>
          <w:tcPr>
            <w:tcW w:w="1173" w:type="dxa"/>
            <w:vAlign w:val="center"/>
          </w:tcPr>
          <w:p>
            <w:pPr>
              <w:widowControl/>
              <w:jc w:val="center"/>
              <w:rPr>
                <w:rFonts w:ascii="仿宋_GB2312" w:hAnsi="Times New Roman" w:eastAsia="仿宋_GB2312"/>
                <w:b/>
                <w:bCs/>
                <w:color w:val="000000"/>
                <w:kern w:val="0"/>
                <w:szCs w:val="21"/>
              </w:rPr>
            </w:pPr>
            <w:r>
              <w:rPr>
                <w:rFonts w:ascii="仿宋_GB2312" w:hAnsi="Times New Roman" w:eastAsia="仿宋_GB2312"/>
                <w:b/>
                <w:bCs/>
                <w:color w:val="000000"/>
                <w:kern w:val="0"/>
                <w:szCs w:val="21"/>
              </w:rPr>
              <w:t>注册主体</w:t>
            </w:r>
          </w:p>
        </w:tc>
        <w:tc>
          <w:tcPr>
            <w:tcW w:w="1499" w:type="dxa"/>
            <w:vAlign w:val="center"/>
          </w:tcPr>
          <w:p>
            <w:pPr>
              <w:widowControl/>
              <w:jc w:val="center"/>
              <w:rPr>
                <w:rFonts w:ascii="仿宋_GB2312" w:hAnsi="Times New Roman" w:eastAsia="仿宋_GB2312"/>
                <w:b/>
                <w:bCs/>
                <w:color w:val="000000"/>
                <w:kern w:val="0"/>
                <w:szCs w:val="21"/>
              </w:rPr>
            </w:pPr>
            <w:r>
              <w:rPr>
                <w:rFonts w:ascii="仿宋_GB2312" w:hAnsi="Times New Roman" w:eastAsia="仿宋_GB2312"/>
                <w:b/>
                <w:bCs/>
                <w:color w:val="000000"/>
                <w:kern w:val="0"/>
                <w:szCs w:val="21"/>
              </w:rPr>
              <w:t>债券品种</w:t>
            </w:r>
          </w:p>
        </w:tc>
        <w:tc>
          <w:tcPr>
            <w:tcW w:w="1379" w:type="dxa"/>
            <w:vAlign w:val="center"/>
          </w:tcPr>
          <w:p>
            <w:pPr>
              <w:widowControl/>
              <w:jc w:val="center"/>
              <w:rPr>
                <w:rFonts w:ascii="仿宋_GB2312" w:hAnsi="Times New Roman" w:eastAsia="仿宋_GB2312"/>
                <w:b/>
                <w:bCs/>
                <w:color w:val="000000"/>
                <w:kern w:val="0"/>
                <w:szCs w:val="21"/>
              </w:rPr>
            </w:pPr>
            <w:r>
              <w:rPr>
                <w:rFonts w:ascii="仿宋_GB2312" w:hAnsi="Times New Roman" w:eastAsia="仿宋_GB2312"/>
                <w:b/>
                <w:bCs/>
                <w:color w:val="000000"/>
                <w:kern w:val="0"/>
                <w:szCs w:val="21"/>
              </w:rPr>
              <w:t>注册机构</w:t>
            </w:r>
          </w:p>
        </w:tc>
        <w:tc>
          <w:tcPr>
            <w:tcW w:w="1335" w:type="dxa"/>
            <w:vAlign w:val="center"/>
          </w:tcPr>
          <w:p>
            <w:pPr>
              <w:widowControl/>
              <w:jc w:val="center"/>
              <w:rPr>
                <w:rFonts w:ascii="仿宋_GB2312" w:hAnsi="Times New Roman" w:eastAsia="仿宋_GB2312"/>
                <w:b/>
                <w:bCs/>
                <w:color w:val="000000"/>
                <w:kern w:val="0"/>
                <w:szCs w:val="21"/>
              </w:rPr>
            </w:pPr>
            <w:r>
              <w:rPr>
                <w:rFonts w:ascii="仿宋_GB2312" w:hAnsi="Times New Roman" w:eastAsia="仿宋_GB2312"/>
                <w:b/>
                <w:bCs/>
                <w:color w:val="000000"/>
                <w:kern w:val="0"/>
                <w:szCs w:val="21"/>
              </w:rPr>
              <w:t>注册时间</w:t>
            </w:r>
          </w:p>
        </w:tc>
        <w:tc>
          <w:tcPr>
            <w:tcW w:w="930" w:type="dxa"/>
            <w:vAlign w:val="center"/>
          </w:tcPr>
          <w:p>
            <w:pPr>
              <w:widowControl/>
              <w:jc w:val="center"/>
              <w:rPr>
                <w:rFonts w:ascii="仿宋_GB2312" w:hAnsi="Times New Roman" w:eastAsia="仿宋_GB2312"/>
                <w:b/>
                <w:bCs/>
                <w:color w:val="000000"/>
                <w:kern w:val="0"/>
                <w:szCs w:val="21"/>
              </w:rPr>
            </w:pPr>
            <w:r>
              <w:rPr>
                <w:rFonts w:ascii="仿宋_GB2312" w:hAnsi="Times New Roman" w:eastAsia="仿宋_GB2312"/>
                <w:b/>
                <w:bCs/>
                <w:color w:val="000000"/>
                <w:kern w:val="0"/>
                <w:szCs w:val="21"/>
              </w:rPr>
              <w:t>注册</w:t>
            </w:r>
            <w:r>
              <w:rPr>
                <w:rFonts w:ascii="仿宋_GB2312" w:hAnsi="Times New Roman" w:eastAsia="仿宋_GB2312"/>
                <w:b/>
                <w:bCs/>
                <w:color w:val="000000"/>
                <w:kern w:val="0"/>
                <w:szCs w:val="21"/>
              </w:rPr>
              <w:br w:type="textWrapping"/>
            </w:r>
            <w:r>
              <w:rPr>
                <w:rFonts w:ascii="仿宋_GB2312" w:hAnsi="Times New Roman" w:eastAsia="仿宋_GB2312"/>
                <w:b/>
                <w:bCs/>
                <w:color w:val="000000"/>
                <w:kern w:val="0"/>
                <w:szCs w:val="21"/>
              </w:rPr>
              <w:t>规模</w:t>
            </w:r>
          </w:p>
        </w:tc>
        <w:tc>
          <w:tcPr>
            <w:tcW w:w="988" w:type="dxa"/>
            <w:vAlign w:val="center"/>
          </w:tcPr>
          <w:p>
            <w:pPr>
              <w:widowControl/>
              <w:jc w:val="center"/>
              <w:rPr>
                <w:rFonts w:ascii="仿宋_GB2312" w:hAnsi="Times New Roman" w:eastAsia="仿宋_GB2312"/>
                <w:b/>
                <w:bCs/>
                <w:color w:val="000000"/>
                <w:kern w:val="0"/>
                <w:szCs w:val="21"/>
              </w:rPr>
            </w:pPr>
            <w:r>
              <w:rPr>
                <w:rFonts w:ascii="仿宋_GB2312" w:hAnsi="Times New Roman" w:eastAsia="仿宋_GB2312"/>
                <w:b/>
                <w:bCs/>
                <w:color w:val="000000"/>
                <w:kern w:val="0"/>
                <w:szCs w:val="21"/>
              </w:rPr>
              <w:t>已发行金额</w:t>
            </w:r>
          </w:p>
        </w:tc>
        <w:tc>
          <w:tcPr>
            <w:tcW w:w="1095" w:type="dxa"/>
            <w:vAlign w:val="center"/>
          </w:tcPr>
          <w:p>
            <w:pPr>
              <w:widowControl/>
              <w:jc w:val="center"/>
              <w:rPr>
                <w:rFonts w:ascii="仿宋_GB2312" w:hAnsi="Times New Roman" w:eastAsia="仿宋_GB2312"/>
                <w:b/>
                <w:bCs/>
                <w:color w:val="000000"/>
                <w:kern w:val="0"/>
                <w:szCs w:val="21"/>
              </w:rPr>
            </w:pPr>
            <w:r>
              <w:rPr>
                <w:rFonts w:ascii="仿宋_GB2312" w:hAnsi="Times New Roman" w:eastAsia="仿宋_GB2312"/>
                <w:b/>
                <w:bCs/>
                <w:color w:val="000000"/>
                <w:kern w:val="0"/>
                <w:szCs w:val="21"/>
              </w:rPr>
              <w:t>尚未发行金额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97" w:type="dxa"/>
            <w:vAlign w:val="center"/>
          </w:tcPr>
          <w:p>
            <w:pPr>
              <w:widowControl/>
              <w:jc w:val="center"/>
              <w:rPr>
                <w:rFonts w:ascii="仿宋_GB2312" w:hAnsi="Times New Roman" w:eastAsia="仿宋_GB2312"/>
                <w:color w:val="000000"/>
                <w:kern w:val="0"/>
                <w:szCs w:val="21"/>
              </w:rPr>
            </w:pPr>
          </w:p>
        </w:tc>
        <w:tc>
          <w:tcPr>
            <w:tcW w:w="1173" w:type="dxa"/>
            <w:vAlign w:val="center"/>
          </w:tcPr>
          <w:p>
            <w:pPr>
              <w:widowControl/>
              <w:jc w:val="center"/>
              <w:rPr>
                <w:rFonts w:ascii="仿宋_GB2312" w:hAnsi="Times New Roman" w:eastAsia="仿宋_GB2312"/>
                <w:bCs/>
                <w:color w:val="000000"/>
                <w:kern w:val="0"/>
                <w:szCs w:val="21"/>
              </w:rPr>
            </w:pPr>
          </w:p>
        </w:tc>
        <w:tc>
          <w:tcPr>
            <w:tcW w:w="1499" w:type="dxa"/>
            <w:vAlign w:val="center"/>
          </w:tcPr>
          <w:p>
            <w:pPr>
              <w:widowControl/>
              <w:jc w:val="center"/>
              <w:rPr>
                <w:rFonts w:ascii="仿宋_GB2312" w:hAnsi="Times New Roman" w:eastAsia="仿宋_GB2312"/>
                <w:bCs/>
                <w:color w:val="000000"/>
                <w:kern w:val="0"/>
                <w:szCs w:val="21"/>
              </w:rPr>
            </w:pPr>
          </w:p>
        </w:tc>
        <w:tc>
          <w:tcPr>
            <w:tcW w:w="1379" w:type="dxa"/>
            <w:vAlign w:val="center"/>
          </w:tcPr>
          <w:p>
            <w:pPr>
              <w:widowControl/>
              <w:jc w:val="center"/>
              <w:rPr>
                <w:rFonts w:ascii="仿宋_GB2312" w:hAnsi="Times New Roman" w:eastAsia="仿宋_GB2312"/>
                <w:bCs/>
                <w:color w:val="000000"/>
                <w:kern w:val="0"/>
                <w:szCs w:val="21"/>
              </w:rPr>
            </w:pPr>
          </w:p>
        </w:tc>
        <w:tc>
          <w:tcPr>
            <w:tcW w:w="1335" w:type="dxa"/>
            <w:vAlign w:val="center"/>
          </w:tcPr>
          <w:p>
            <w:pPr>
              <w:widowControl/>
              <w:jc w:val="center"/>
              <w:rPr>
                <w:rFonts w:ascii="仿宋_GB2312" w:hAnsi="Times New Roman" w:eastAsia="仿宋_GB2312"/>
                <w:bCs/>
                <w:color w:val="000000"/>
                <w:kern w:val="0"/>
                <w:szCs w:val="21"/>
              </w:rPr>
            </w:pPr>
          </w:p>
        </w:tc>
        <w:tc>
          <w:tcPr>
            <w:tcW w:w="930" w:type="dxa"/>
            <w:vAlign w:val="center"/>
          </w:tcPr>
          <w:p>
            <w:pPr>
              <w:widowControl/>
              <w:jc w:val="right"/>
              <w:rPr>
                <w:rFonts w:ascii="仿宋_GB2312" w:hAnsi="Times New Roman" w:eastAsia="仿宋_GB2312"/>
                <w:bCs/>
                <w:color w:val="000000"/>
                <w:kern w:val="0"/>
                <w:szCs w:val="21"/>
              </w:rPr>
            </w:pPr>
          </w:p>
        </w:tc>
        <w:tc>
          <w:tcPr>
            <w:tcW w:w="988" w:type="dxa"/>
            <w:vAlign w:val="center"/>
          </w:tcPr>
          <w:p>
            <w:pPr>
              <w:widowControl/>
              <w:jc w:val="right"/>
              <w:rPr>
                <w:rFonts w:ascii="仿宋_GB2312" w:hAnsi="Times New Roman" w:eastAsia="仿宋_GB2312"/>
                <w:bCs/>
                <w:color w:val="000000"/>
                <w:kern w:val="0"/>
                <w:szCs w:val="21"/>
              </w:rPr>
            </w:pPr>
          </w:p>
        </w:tc>
        <w:tc>
          <w:tcPr>
            <w:tcW w:w="1095" w:type="dxa"/>
            <w:vAlign w:val="center"/>
          </w:tcPr>
          <w:p>
            <w:pPr>
              <w:widowControl/>
              <w:jc w:val="right"/>
              <w:rPr>
                <w:rFonts w:ascii="仿宋_GB2312" w:hAnsi="Times New Roman" w:eastAsia="仿宋_GB2312"/>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70" w:type="dxa"/>
            <w:gridSpan w:val="2"/>
            <w:vAlign w:val="center"/>
          </w:tcPr>
          <w:p>
            <w:pPr>
              <w:widowControl/>
              <w:jc w:val="center"/>
              <w:rPr>
                <w:rFonts w:ascii="仿宋_GB2312" w:hAnsi="Times New Roman" w:eastAsia="仿宋_GB2312"/>
                <w:b/>
                <w:color w:val="000000"/>
                <w:kern w:val="0"/>
                <w:szCs w:val="21"/>
              </w:rPr>
            </w:pPr>
            <w:r>
              <w:rPr>
                <w:rFonts w:ascii="仿宋_GB2312" w:hAnsi="Times New Roman" w:eastAsia="仿宋_GB2312"/>
                <w:b/>
                <w:color w:val="000000"/>
                <w:kern w:val="0"/>
                <w:szCs w:val="21"/>
              </w:rPr>
              <w:t>合计</w:t>
            </w:r>
          </w:p>
        </w:tc>
        <w:tc>
          <w:tcPr>
            <w:tcW w:w="1499" w:type="dxa"/>
          </w:tcPr>
          <w:p>
            <w:pPr>
              <w:widowControl/>
              <w:jc w:val="center"/>
              <w:rPr>
                <w:rFonts w:ascii="仿宋_GB2312" w:hAnsi="Times New Roman" w:eastAsia="仿宋_GB2312"/>
                <w:b/>
                <w:color w:val="000000"/>
                <w:kern w:val="0"/>
                <w:szCs w:val="21"/>
              </w:rPr>
            </w:pPr>
            <w:r>
              <w:rPr>
                <w:rFonts w:ascii="仿宋_GB2312" w:hAnsi="Times New Roman" w:eastAsia="仿宋_GB2312"/>
                <w:b/>
                <w:color w:val="000000"/>
                <w:kern w:val="0"/>
                <w:szCs w:val="21"/>
              </w:rPr>
              <w:t>-</w:t>
            </w:r>
          </w:p>
        </w:tc>
        <w:tc>
          <w:tcPr>
            <w:tcW w:w="1379" w:type="dxa"/>
            <w:vAlign w:val="center"/>
          </w:tcPr>
          <w:p>
            <w:pPr>
              <w:widowControl/>
              <w:jc w:val="center"/>
              <w:rPr>
                <w:rFonts w:ascii="仿宋_GB2312" w:hAnsi="Times New Roman" w:eastAsia="仿宋_GB2312"/>
                <w:b/>
                <w:color w:val="000000"/>
                <w:kern w:val="0"/>
                <w:szCs w:val="21"/>
              </w:rPr>
            </w:pPr>
            <w:r>
              <w:rPr>
                <w:rFonts w:ascii="仿宋_GB2312" w:hAnsi="Times New Roman" w:eastAsia="仿宋_GB2312"/>
                <w:b/>
                <w:color w:val="000000"/>
                <w:kern w:val="0"/>
                <w:szCs w:val="21"/>
              </w:rPr>
              <w:t>-</w:t>
            </w:r>
          </w:p>
        </w:tc>
        <w:tc>
          <w:tcPr>
            <w:tcW w:w="1335" w:type="dxa"/>
            <w:vAlign w:val="center"/>
          </w:tcPr>
          <w:p>
            <w:pPr>
              <w:widowControl/>
              <w:jc w:val="center"/>
              <w:rPr>
                <w:rFonts w:ascii="仿宋_GB2312" w:hAnsi="Times New Roman" w:eastAsia="仿宋_GB2312"/>
                <w:b/>
                <w:color w:val="000000"/>
                <w:kern w:val="0"/>
                <w:szCs w:val="21"/>
              </w:rPr>
            </w:pPr>
            <w:r>
              <w:rPr>
                <w:rFonts w:ascii="仿宋_GB2312" w:hAnsi="Times New Roman" w:eastAsia="仿宋_GB2312"/>
                <w:b/>
                <w:color w:val="000000"/>
                <w:kern w:val="0"/>
                <w:szCs w:val="21"/>
              </w:rPr>
              <w:t>-</w:t>
            </w:r>
          </w:p>
        </w:tc>
        <w:tc>
          <w:tcPr>
            <w:tcW w:w="930" w:type="dxa"/>
            <w:vAlign w:val="center"/>
          </w:tcPr>
          <w:p>
            <w:pPr>
              <w:widowControl/>
              <w:jc w:val="right"/>
              <w:rPr>
                <w:rFonts w:ascii="仿宋_GB2312" w:hAnsi="Times New Roman" w:eastAsia="仿宋_GB2312"/>
                <w:b/>
                <w:color w:val="000000"/>
                <w:kern w:val="0"/>
                <w:szCs w:val="21"/>
              </w:rPr>
            </w:pPr>
          </w:p>
        </w:tc>
        <w:tc>
          <w:tcPr>
            <w:tcW w:w="988" w:type="dxa"/>
            <w:vAlign w:val="center"/>
          </w:tcPr>
          <w:p>
            <w:pPr>
              <w:widowControl/>
              <w:jc w:val="right"/>
              <w:rPr>
                <w:rFonts w:ascii="仿宋_GB2312" w:hAnsi="Times New Roman" w:eastAsia="仿宋_GB2312"/>
                <w:b/>
                <w:color w:val="000000"/>
                <w:kern w:val="0"/>
                <w:szCs w:val="21"/>
              </w:rPr>
            </w:pPr>
          </w:p>
        </w:tc>
        <w:tc>
          <w:tcPr>
            <w:tcW w:w="1095" w:type="dxa"/>
            <w:vAlign w:val="center"/>
          </w:tcPr>
          <w:p>
            <w:pPr>
              <w:widowControl/>
              <w:jc w:val="right"/>
              <w:rPr>
                <w:rFonts w:ascii="仿宋_GB2312" w:hAnsi="Times New Roman" w:eastAsia="仿宋_GB2312"/>
                <w:b/>
                <w:color w:val="000000"/>
                <w:kern w:val="0"/>
                <w:szCs w:val="21"/>
              </w:rPr>
            </w:pPr>
          </w:p>
        </w:tc>
      </w:tr>
    </w:tbl>
    <w:p>
      <w:pPr>
        <w:pStyle w:val="22"/>
        <w:spacing w:line="560" w:lineRule="exact"/>
        <w:ind w:firstLine="640"/>
        <w:rPr>
          <w:sz w:val="32"/>
          <w:szCs w:val="32"/>
        </w:rPr>
      </w:pPr>
      <w:r>
        <w:rPr>
          <w:sz w:val="32"/>
          <w:szCs w:val="32"/>
        </w:rPr>
        <w:t>3.同期申报债券情况</w:t>
      </w:r>
    </w:p>
    <w:p>
      <w:pPr>
        <w:tabs>
          <w:tab w:val="left" w:pos="756"/>
        </w:tabs>
        <w:spacing w:line="560" w:lineRule="exact"/>
        <w:ind w:firstLine="640" w:firstLineChars="200"/>
        <w:textAlignment w:val="baseline"/>
        <w:rPr>
          <w:rFonts w:ascii="仿宋_GB2312" w:eastAsia="仿宋_GB2312" w:hAnsiTheme="minorEastAsia"/>
          <w:sz w:val="32"/>
          <w:szCs w:val="32"/>
        </w:rPr>
      </w:pPr>
      <w:r>
        <w:rPr>
          <w:rFonts w:hint="eastAsia" w:ascii="仿宋_GB2312" w:eastAsia="仿宋_GB2312" w:hAnsiTheme="minorEastAsia"/>
          <w:sz w:val="32"/>
          <w:szCs w:val="32"/>
        </w:rPr>
        <w:t>以列表形式简要介绍除本次申报公司债券外，发行人同期申报公司债券的情况。</w:t>
      </w:r>
    </w:p>
    <w:p>
      <w:pPr>
        <w:spacing w:line="560" w:lineRule="exact"/>
        <w:ind w:firstLine="642" w:firstLineChars="200"/>
        <w:rPr>
          <w:rFonts w:ascii="黑体" w:hAnsi="黑体" w:eastAsia="黑体"/>
          <w:b/>
          <w:kern w:val="0"/>
          <w:sz w:val="32"/>
          <w:szCs w:val="32"/>
          <w:lang w:bidi="en-US"/>
        </w:rPr>
      </w:pPr>
      <w:r>
        <w:rPr>
          <w:rFonts w:hint="eastAsia" w:ascii="黑体" w:hAnsi="黑体" w:eastAsia="黑体"/>
          <w:b/>
          <w:kern w:val="0"/>
          <w:sz w:val="32"/>
          <w:szCs w:val="32"/>
          <w:lang w:bidi="en-US"/>
        </w:rPr>
        <w:t>三、公司债券发行方案</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1"/>
        <w:gridCol w:w="5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561" w:type="pct"/>
            <w:vAlign w:val="center"/>
          </w:tcPr>
          <w:p>
            <w:pPr>
              <w:contextualSpacing/>
              <w:rPr>
                <w:rFonts w:ascii="仿宋_GB2312" w:hAnsi="Times New Roman" w:eastAsia="仿宋_GB2312"/>
                <w:szCs w:val="21"/>
              </w:rPr>
            </w:pPr>
            <w:r>
              <w:rPr>
                <w:rFonts w:hint="eastAsia" w:ascii="仿宋_GB2312" w:hAnsi="Times New Roman" w:eastAsia="仿宋_GB2312"/>
                <w:szCs w:val="21"/>
              </w:rPr>
              <w:t>债券名称</w:t>
            </w:r>
          </w:p>
        </w:tc>
        <w:tc>
          <w:tcPr>
            <w:tcW w:w="3439" w:type="pct"/>
            <w:vAlign w:val="center"/>
          </w:tcPr>
          <w:p>
            <w:pPr>
              <w:pStyle w:val="22"/>
              <w:keepNext/>
              <w:keepLines/>
              <w:spacing w:before="260" w:after="260" w:line="240" w:lineRule="auto"/>
              <w:ind w:firstLine="0" w:firstLineChars="0"/>
              <w:contextualSpacing/>
              <w:rPr>
                <w:rFonts w:hAnsi="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61" w:type="pct"/>
            <w:vAlign w:val="center"/>
          </w:tcPr>
          <w:p>
            <w:pPr>
              <w:contextualSpacing/>
              <w:rPr>
                <w:rFonts w:ascii="仿宋_GB2312" w:hAnsi="Times New Roman" w:eastAsia="仿宋_GB2312"/>
                <w:szCs w:val="21"/>
              </w:rPr>
            </w:pPr>
            <w:r>
              <w:rPr>
                <w:rFonts w:hint="eastAsia" w:ascii="仿宋_GB2312" w:hAnsi="Times New Roman" w:eastAsia="仿宋_GB2312"/>
                <w:szCs w:val="21"/>
              </w:rPr>
              <w:t>发行规模</w:t>
            </w:r>
          </w:p>
        </w:tc>
        <w:tc>
          <w:tcPr>
            <w:tcW w:w="3439" w:type="pct"/>
            <w:vAlign w:val="center"/>
          </w:tcPr>
          <w:p>
            <w:pPr>
              <w:pStyle w:val="22"/>
              <w:keepNext/>
              <w:keepLines/>
              <w:spacing w:before="260" w:after="260" w:line="240" w:lineRule="auto"/>
              <w:ind w:firstLine="0" w:firstLineChars="0"/>
              <w:contextualSpacing/>
              <w:rPr>
                <w:rFonts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61" w:type="pct"/>
            <w:vAlign w:val="center"/>
          </w:tcPr>
          <w:p>
            <w:pPr>
              <w:contextualSpacing/>
              <w:rPr>
                <w:rFonts w:ascii="仿宋_GB2312" w:hAnsi="Times New Roman" w:eastAsia="仿宋_GB2312"/>
                <w:szCs w:val="21"/>
              </w:rPr>
            </w:pPr>
            <w:r>
              <w:rPr>
                <w:rFonts w:hint="eastAsia" w:ascii="仿宋_GB2312" w:hAnsi="Times New Roman" w:eastAsia="仿宋_GB2312"/>
                <w:szCs w:val="21"/>
              </w:rPr>
              <w:t>债券期限</w:t>
            </w:r>
          </w:p>
        </w:tc>
        <w:tc>
          <w:tcPr>
            <w:tcW w:w="3439" w:type="pct"/>
            <w:vAlign w:val="center"/>
          </w:tcPr>
          <w:p>
            <w:pPr>
              <w:pStyle w:val="22"/>
              <w:spacing w:line="240" w:lineRule="auto"/>
              <w:ind w:firstLine="0" w:firstLineChars="0"/>
              <w:contextualSpacing/>
              <w:rPr>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61" w:type="pct"/>
            <w:vAlign w:val="center"/>
          </w:tcPr>
          <w:p>
            <w:pPr>
              <w:contextualSpacing/>
              <w:rPr>
                <w:rFonts w:ascii="仿宋_GB2312" w:hAnsi="Times New Roman" w:eastAsia="仿宋_GB2312"/>
                <w:szCs w:val="21"/>
              </w:rPr>
            </w:pPr>
            <w:r>
              <w:rPr>
                <w:rFonts w:hint="eastAsia" w:ascii="仿宋_GB2312" w:hAnsi="Times New Roman" w:eastAsia="仿宋_GB2312"/>
                <w:szCs w:val="21"/>
              </w:rPr>
              <w:t>担保情况</w:t>
            </w:r>
          </w:p>
        </w:tc>
        <w:tc>
          <w:tcPr>
            <w:tcW w:w="3439" w:type="pct"/>
            <w:vAlign w:val="center"/>
          </w:tcPr>
          <w:p>
            <w:pPr>
              <w:contextualSpacing/>
              <w:rPr>
                <w:rFonts w:ascii="仿宋_GB2312"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61" w:type="pct"/>
            <w:vAlign w:val="center"/>
          </w:tcPr>
          <w:p>
            <w:pPr>
              <w:contextualSpacing/>
              <w:rPr>
                <w:rFonts w:ascii="仿宋_GB2312" w:hAnsi="Times New Roman" w:eastAsia="仿宋_GB2312"/>
                <w:szCs w:val="21"/>
              </w:rPr>
            </w:pPr>
            <w:r>
              <w:rPr>
                <w:rFonts w:hint="eastAsia" w:ascii="仿宋_GB2312" w:hAnsi="Times New Roman" w:eastAsia="仿宋_GB2312"/>
                <w:szCs w:val="21"/>
              </w:rPr>
              <w:t>信用级别及资信评级机构</w:t>
            </w:r>
          </w:p>
        </w:tc>
        <w:tc>
          <w:tcPr>
            <w:tcW w:w="3439" w:type="pct"/>
            <w:vAlign w:val="center"/>
          </w:tcPr>
          <w:p>
            <w:pPr>
              <w:pStyle w:val="22"/>
              <w:spacing w:line="240" w:lineRule="auto"/>
              <w:ind w:firstLine="0" w:firstLineChars="0"/>
              <w:contextualSpacing/>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61" w:type="pct"/>
            <w:vAlign w:val="center"/>
          </w:tcPr>
          <w:p>
            <w:pPr>
              <w:contextualSpacing/>
              <w:rPr>
                <w:rFonts w:ascii="仿宋_GB2312" w:hAnsi="Times New Roman" w:eastAsia="仿宋_GB2312"/>
                <w:szCs w:val="21"/>
              </w:rPr>
            </w:pPr>
            <w:r>
              <w:rPr>
                <w:rFonts w:hint="eastAsia" w:ascii="仿宋_GB2312" w:hAnsi="Times New Roman" w:eastAsia="仿宋_GB2312"/>
                <w:szCs w:val="21"/>
              </w:rPr>
              <w:t>主承销商</w:t>
            </w:r>
          </w:p>
        </w:tc>
        <w:tc>
          <w:tcPr>
            <w:tcW w:w="3439" w:type="pct"/>
            <w:vAlign w:val="center"/>
          </w:tcPr>
          <w:p>
            <w:pPr>
              <w:pStyle w:val="22"/>
              <w:spacing w:line="240" w:lineRule="auto"/>
              <w:ind w:firstLine="0" w:firstLineChars="0"/>
              <w:contextualSpacing/>
              <w:rPr>
                <w:rFonts w:hAnsi="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61" w:type="pct"/>
            <w:vAlign w:val="center"/>
          </w:tcPr>
          <w:p>
            <w:pPr>
              <w:contextualSpacing/>
              <w:rPr>
                <w:rFonts w:ascii="仿宋_GB2312" w:hAnsi="Times New Roman" w:eastAsia="仿宋_GB2312"/>
                <w:szCs w:val="21"/>
              </w:rPr>
            </w:pPr>
            <w:r>
              <w:rPr>
                <w:rFonts w:hint="eastAsia" w:ascii="仿宋_GB2312" w:hAnsi="Times New Roman" w:eastAsia="仿宋_GB2312"/>
                <w:szCs w:val="21"/>
              </w:rPr>
              <w:t>债券受托管理人</w:t>
            </w:r>
          </w:p>
        </w:tc>
        <w:tc>
          <w:tcPr>
            <w:tcW w:w="3439" w:type="pct"/>
            <w:vAlign w:val="center"/>
          </w:tcPr>
          <w:p>
            <w:pPr>
              <w:contextualSpacing/>
              <w:rPr>
                <w:rFonts w:ascii="仿宋_GB2312"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561" w:type="pct"/>
            <w:vAlign w:val="center"/>
          </w:tcPr>
          <w:p>
            <w:pPr>
              <w:contextualSpacing/>
              <w:rPr>
                <w:rFonts w:ascii="仿宋_GB2312" w:hAnsi="Times New Roman" w:eastAsia="仿宋_GB2312"/>
                <w:szCs w:val="21"/>
              </w:rPr>
            </w:pPr>
            <w:r>
              <w:rPr>
                <w:rFonts w:hint="eastAsia" w:ascii="仿宋_GB2312" w:hAnsi="Times New Roman" w:eastAsia="仿宋_GB2312"/>
                <w:szCs w:val="21"/>
              </w:rPr>
              <w:t>募集资金用途</w:t>
            </w:r>
          </w:p>
        </w:tc>
        <w:tc>
          <w:tcPr>
            <w:tcW w:w="3439" w:type="pct"/>
            <w:vAlign w:val="center"/>
          </w:tcPr>
          <w:p>
            <w:pPr>
              <w:contextualSpacing/>
              <w:rPr>
                <w:rFonts w:ascii="仿宋_GB2312" w:hAnsi="Times New Roman" w:eastAsia="仿宋_GB2312"/>
                <w:szCs w:val="21"/>
              </w:rPr>
            </w:pPr>
          </w:p>
        </w:tc>
      </w:tr>
    </w:tbl>
    <w:p>
      <w:pPr>
        <w:spacing w:line="56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募集资金用于偿还公司债务的，请披露拟偿还有息债务的债务类型、金额以及到期日等；用于补充流动资金的，请披露拟补充流动资金的业务板块，并测算规模合理性；用于固定资产投资项目的，请披露项目的合理性、合规性、收益性等；用于基金投资的，请披露基金设立情况、运营情况</w:t>
      </w:r>
      <w:r>
        <w:rPr>
          <w:rFonts w:hint="eastAsia" w:ascii="仿宋_GB2312" w:hAnsi="仿宋" w:eastAsia="仿宋_GB2312"/>
          <w:color w:val="000000"/>
          <w:sz w:val="32"/>
          <w:szCs w:val="32"/>
        </w:rPr>
        <w:t>及退出方式等。</w:t>
      </w:r>
      <w:r>
        <w:rPr>
          <w:rFonts w:ascii="仿宋_GB2312" w:eastAsia="仿宋_GB2312"/>
          <w:kern w:val="0"/>
          <w:sz w:val="32"/>
          <w:szCs w:val="32"/>
          <w:lang w:bidi="en-US"/>
        </w:rPr>
        <w:t>]</w:t>
      </w:r>
    </w:p>
    <w:p>
      <w:pPr>
        <w:widowControl/>
        <w:numPr>
          <w:ilvl w:val="255"/>
          <w:numId w:val="0"/>
        </w:numPr>
        <w:adjustRightInd w:val="0"/>
        <w:snapToGrid w:val="0"/>
        <w:spacing w:line="560" w:lineRule="exact"/>
        <w:ind w:firstLine="642" w:firstLineChars="200"/>
        <w:rPr>
          <w:rFonts w:ascii="黑体" w:hAnsi="黑体" w:eastAsia="黑体"/>
          <w:b/>
          <w:kern w:val="0"/>
          <w:sz w:val="32"/>
          <w:szCs w:val="32"/>
          <w:lang w:bidi="en-US"/>
        </w:rPr>
      </w:pPr>
      <w:r>
        <w:rPr>
          <w:rFonts w:hint="eastAsia" w:ascii="黑体" w:hAnsi="黑体" w:eastAsia="黑体"/>
          <w:b/>
          <w:color w:val="000000"/>
          <w:kern w:val="0"/>
          <w:sz w:val="32"/>
          <w:szCs w:val="32"/>
          <w:lang w:bidi="en-US"/>
        </w:rPr>
        <w:t>四、</w:t>
      </w:r>
      <w:r>
        <w:rPr>
          <w:rFonts w:hint="eastAsia" w:ascii="黑体" w:hAnsi="黑体" w:eastAsia="黑体"/>
          <w:b/>
          <w:kern w:val="0"/>
          <w:sz w:val="32"/>
          <w:szCs w:val="32"/>
          <w:lang w:bidi="en-US"/>
        </w:rPr>
        <w:t>本次债券增信情况（如有）</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ascii="仿宋_GB2312" w:eastAsia="仿宋_GB2312"/>
          <w:kern w:val="0"/>
          <w:sz w:val="32"/>
          <w:szCs w:val="32"/>
          <w:lang w:bidi="en-US"/>
        </w:rPr>
        <w:t>[</w:t>
      </w:r>
      <w:r>
        <w:rPr>
          <w:rFonts w:hint="eastAsia" w:ascii="仿宋_GB2312" w:hAnsi="Times New Roman" w:eastAsia="仿宋_GB2312"/>
          <w:color w:val="000000"/>
          <w:kern w:val="0"/>
          <w:sz w:val="32"/>
          <w:szCs w:val="32"/>
          <w:lang w:bidi="en-US"/>
        </w:rPr>
        <w:t>如为保证担保，请描述担保人基本情况、最近一年及一期主要财务数据及分析、资信状况、担保函主要内容等。</w:t>
      </w:r>
    </w:p>
    <w:p>
      <w:pPr>
        <w:spacing w:line="560" w:lineRule="exact"/>
        <w:ind w:firstLine="640" w:firstLineChars="200"/>
        <w:rPr>
          <w:rFonts w:ascii="仿宋_GB2312" w:eastAsia="仿宋_GB2312"/>
          <w:kern w:val="0"/>
          <w:sz w:val="32"/>
          <w:szCs w:val="32"/>
          <w:lang w:bidi="en-US"/>
        </w:rPr>
      </w:pPr>
      <w:r>
        <w:rPr>
          <w:rFonts w:hint="eastAsia" w:ascii="仿宋_GB2312" w:hAnsi="Times New Roman" w:eastAsia="仿宋_GB2312"/>
          <w:color w:val="000000"/>
          <w:kern w:val="0"/>
          <w:sz w:val="32"/>
          <w:szCs w:val="32"/>
          <w:lang w:bidi="en-US"/>
        </w:rPr>
        <w:t>如为其他增信，请描述增信情况</w:t>
      </w:r>
      <w:r>
        <w:rPr>
          <w:rFonts w:ascii="仿宋_GB2312" w:eastAsia="仿宋_GB2312"/>
          <w:kern w:val="0"/>
          <w:sz w:val="32"/>
          <w:szCs w:val="32"/>
          <w:lang w:bidi="en-US"/>
        </w:rPr>
        <w:t>]</w:t>
      </w:r>
    </w:p>
    <w:p>
      <w:pPr>
        <w:spacing w:line="560" w:lineRule="exact"/>
        <w:ind w:firstLine="642" w:firstLineChars="200"/>
        <w:rPr>
          <w:rFonts w:ascii="黑体" w:hAnsi="黑体" w:eastAsia="黑体"/>
          <w:b/>
          <w:kern w:val="0"/>
          <w:sz w:val="32"/>
          <w:szCs w:val="32"/>
          <w:lang w:bidi="en-US"/>
        </w:rPr>
      </w:pPr>
      <w:r>
        <w:rPr>
          <w:rFonts w:hint="eastAsia" w:ascii="黑体" w:hAnsi="黑体" w:eastAsia="黑体"/>
          <w:b/>
          <w:kern w:val="0"/>
          <w:sz w:val="32"/>
          <w:szCs w:val="32"/>
          <w:lang w:bidi="en-US"/>
        </w:rPr>
        <w:t>五、关于本次公司债券挂牌转让合规性</w:t>
      </w:r>
    </w:p>
    <w:p>
      <w:pPr>
        <w:spacing w:line="560" w:lineRule="exact"/>
        <w:ind w:firstLine="640" w:firstLineChars="200"/>
        <w:rPr>
          <w:rFonts w:ascii="仿宋_GB2312" w:eastAsia="仿宋_GB2312"/>
          <w:kern w:val="0"/>
          <w:sz w:val="32"/>
          <w:szCs w:val="32"/>
          <w:lang w:bidi="en-US"/>
        </w:rPr>
      </w:pPr>
      <w:r>
        <w:rPr>
          <w:rFonts w:ascii="仿宋_GB2312" w:eastAsia="仿宋_GB2312"/>
          <w:kern w:val="0"/>
          <w:sz w:val="32"/>
          <w:szCs w:val="32"/>
          <w:lang w:bidi="en-US"/>
        </w:rPr>
        <w:t>[对本次债券是否符合《证券法》《管理办法》《上海证券交易所非公开发行公司债券挂牌转让规则》《非公开发行公司债券项目承接负面清单指引》等相关法律法规规定的挂牌条件进行说明。]</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0"/>
        <w:gridCol w:w="2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38" w:type="pct"/>
            <w:tcBorders>
              <w:bottom w:val="single" w:color="auto" w:sz="4" w:space="0"/>
            </w:tcBorders>
            <w:shd w:val="clear" w:color="auto" w:fill="auto"/>
          </w:tcPr>
          <w:p>
            <w:pPr>
              <w:jc w:val="left"/>
              <w:rPr>
                <w:rFonts w:ascii="仿宋_GB2312" w:hAnsi="华文中宋" w:eastAsia="仿宋_GB2312"/>
                <w:szCs w:val="21"/>
              </w:rPr>
            </w:pPr>
            <w:r>
              <w:rPr>
                <w:rFonts w:hint="eastAsia" w:ascii="仿宋_GB2312" w:hAnsi="华文中宋" w:eastAsia="仿宋_GB2312"/>
                <w:szCs w:val="21"/>
              </w:rPr>
              <w:t>1、发行人是否存在《非公开发行公司债券负面清单指引》规定的情形？</w:t>
            </w:r>
          </w:p>
        </w:tc>
        <w:tc>
          <w:tcPr>
            <w:tcW w:w="1462" w:type="pct"/>
            <w:tcBorders>
              <w:bottom w:val="single" w:color="auto" w:sz="4" w:space="0"/>
            </w:tcBorders>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38"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2、是否符合地方政府债务管理相关规定？</w:t>
            </w:r>
          </w:p>
        </w:tc>
        <w:tc>
          <w:tcPr>
            <w:tcW w:w="1462"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 □不适用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38" w:type="pct"/>
            <w:shd w:val="clear" w:color="auto" w:fill="auto"/>
          </w:tcPr>
          <w:p>
            <w:pPr>
              <w:jc w:val="left"/>
              <w:rPr>
                <w:rFonts w:ascii="黑体" w:hAnsi="黑体" w:eastAsia="黑体"/>
                <w:szCs w:val="21"/>
              </w:rPr>
            </w:pPr>
            <w:r>
              <w:rPr>
                <w:rFonts w:hint="eastAsia" w:ascii="仿宋_GB2312" w:hAnsi="华文中宋" w:eastAsia="仿宋_GB2312"/>
                <w:szCs w:val="21"/>
              </w:rPr>
              <w:t>3、发行人是否被列为限制或暂停发行公司债券的失信被执行人？</w:t>
            </w:r>
          </w:p>
        </w:tc>
        <w:tc>
          <w:tcPr>
            <w:tcW w:w="1462" w:type="pct"/>
            <w:shd w:val="clear" w:color="auto" w:fill="auto"/>
          </w:tcPr>
          <w:p>
            <w:pPr>
              <w:jc w:val="left"/>
              <w:rPr>
                <w:rFonts w:ascii="黑体" w:hAnsi="黑体" w:eastAsia="黑体"/>
                <w:szCs w:val="21"/>
              </w:rPr>
            </w:pPr>
            <w:r>
              <w:rPr>
                <w:rFonts w:hint="eastAsia" w:ascii="仿宋_GB2312" w:hAnsi="华文中宋" w:eastAsia="仿宋_GB2312"/>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38"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4、房地产行业发行人是否符合本所分类监管及募集资金用途的相关要求？</w:t>
            </w:r>
          </w:p>
        </w:tc>
        <w:tc>
          <w:tcPr>
            <w:tcW w:w="1462"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 □不适用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38"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5、可续期债券、绿色债券等创新品种是否符合本所创新品种债券的相关申请条件？</w:t>
            </w:r>
          </w:p>
        </w:tc>
        <w:tc>
          <w:tcPr>
            <w:tcW w:w="1462"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□是  □否 □不适用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538" w:type="pct"/>
            <w:shd w:val="clear" w:color="auto" w:fill="auto"/>
          </w:tcPr>
          <w:p>
            <w:pPr>
              <w:jc w:val="left"/>
              <w:rPr>
                <w:rFonts w:ascii="仿宋_GB2312" w:hAnsi="华文中宋" w:eastAsia="仿宋_GB2312"/>
                <w:szCs w:val="21"/>
              </w:rPr>
            </w:pPr>
            <w:r>
              <w:rPr>
                <w:rFonts w:hint="eastAsia" w:ascii="仿宋_GB2312" w:hAnsi="华文中宋" w:eastAsia="仿宋_GB2312"/>
                <w:szCs w:val="21"/>
              </w:rPr>
              <w:t>6、发行人是否存在法律法规规定的其他禁止发行的情形？</w:t>
            </w:r>
          </w:p>
        </w:tc>
        <w:tc>
          <w:tcPr>
            <w:tcW w:w="1462" w:type="pct"/>
            <w:shd w:val="clear" w:color="auto" w:fill="auto"/>
          </w:tcPr>
          <w:p>
            <w:pPr>
              <w:jc w:val="left"/>
              <w:rPr>
                <w:rFonts w:ascii="黑体" w:hAnsi="黑体" w:eastAsia="黑体"/>
                <w:szCs w:val="21"/>
              </w:rPr>
            </w:pPr>
            <w:r>
              <w:rPr>
                <w:rFonts w:hint="eastAsia" w:ascii="仿宋_GB2312" w:hAnsi="华文中宋" w:eastAsia="仿宋_GB2312"/>
                <w:szCs w:val="21"/>
              </w:rPr>
              <w:t>□是  □否</w:t>
            </w:r>
          </w:p>
        </w:tc>
      </w:tr>
    </w:tbl>
    <w:p>
      <w:pPr>
        <w:spacing w:line="560" w:lineRule="exact"/>
        <w:ind w:firstLine="640" w:firstLineChars="200"/>
        <w:rPr>
          <w:rFonts w:ascii="仿宋_GB2312" w:eastAsia="仿宋_GB2312"/>
          <w:kern w:val="0"/>
          <w:sz w:val="32"/>
          <w:szCs w:val="32"/>
          <w:lang w:bidi="en-US"/>
        </w:rPr>
      </w:pPr>
      <w:r>
        <w:rPr>
          <w:rFonts w:hint="eastAsia" w:ascii="仿宋_GB2312" w:eastAsia="仿宋_GB2312"/>
          <w:kern w:val="0"/>
          <w:sz w:val="32"/>
          <w:szCs w:val="32"/>
          <w:lang w:bidi="en-US"/>
        </w:rPr>
        <w:t>综上所述，本次债券符合贵所的公司债券挂牌转让条件。</w:t>
      </w:r>
    </w:p>
    <w:p>
      <w:pPr>
        <w:spacing w:line="560" w:lineRule="exact"/>
        <w:ind w:firstLine="640" w:firstLineChars="200"/>
        <w:rPr>
          <w:rFonts w:ascii="仿宋_GB2312" w:eastAsia="仿宋_GB2312"/>
          <w:kern w:val="0"/>
          <w:sz w:val="32"/>
          <w:szCs w:val="32"/>
          <w:lang w:bidi="en-US"/>
        </w:rPr>
      </w:pPr>
      <w:r>
        <w:rPr>
          <w:rFonts w:hint="eastAsia" w:ascii="仿宋_GB2312" w:eastAsia="仿宋_GB2312"/>
          <w:kern w:val="0"/>
          <w:sz w:val="32"/>
          <w:szCs w:val="32"/>
          <w:lang w:bidi="en-US"/>
        </w:rPr>
        <w:t>特此申请，请予以审核。</w:t>
      </w:r>
    </w:p>
    <w:p>
      <w:pPr>
        <w:widowControl/>
        <w:spacing w:line="560" w:lineRule="exact"/>
        <w:ind w:firstLine="640" w:firstLineChars="200"/>
        <w:rPr>
          <w:rFonts w:ascii="仿宋_GB2312" w:eastAsia="仿宋_GB2312"/>
          <w:kern w:val="0"/>
          <w:sz w:val="32"/>
          <w:szCs w:val="32"/>
          <w:lang w:bidi="en-US"/>
        </w:rPr>
      </w:pPr>
    </w:p>
    <w:p>
      <w:pPr>
        <w:widowControl/>
        <w:spacing w:before="156" w:after="156" w:line="560" w:lineRule="exact"/>
        <w:ind w:firstLine="640" w:firstLineChars="200"/>
        <w:jc w:val="right"/>
        <w:rPr>
          <w:rFonts w:ascii="仿宋_GB2312" w:eastAsia="仿宋_GB2312"/>
          <w:kern w:val="0"/>
          <w:sz w:val="32"/>
          <w:szCs w:val="32"/>
          <w:lang w:bidi="en-US"/>
        </w:rPr>
      </w:pPr>
      <w:r>
        <w:rPr>
          <w:rFonts w:hint="eastAsia" w:ascii="仿宋_GB2312" w:eastAsia="仿宋_GB2312"/>
          <w:kern w:val="0"/>
          <w:sz w:val="32"/>
          <w:szCs w:val="32"/>
          <w:lang w:bidi="en-US"/>
        </w:rPr>
        <w:t>发行人（公章）</w:t>
      </w:r>
    </w:p>
    <w:p>
      <w:pPr>
        <w:widowControl/>
        <w:spacing w:line="560" w:lineRule="exact"/>
        <w:jc w:val="right"/>
        <w:rPr>
          <w:rFonts w:ascii="仿宋_GB2312" w:eastAsia="仿宋_GB2312"/>
          <w:kern w:val="0"/>
          <w:sz w:val="32"/>
          <w:szCs w:val="32"/>
          <w:lang w:bidi="en-US"/>
        </w:rPr>
      </w:pPr>
      <w:r>
        <w:rPr>
          <w:rFonts w:hint="eastAsia" w:ascii="仿宋_GB2312" w:eastAsia="仿宋_GB2312"/>
          <w:kern w:val="0"/>
          <w:sz w:val="32"/>
          <w:szCs w:val="32"/>
          <w:lang w:bidi="en-US"/>
        </w:rPr>
        <w:t>年</w:t>
      </w:r>
      <w:r>
        <w:rPr>
          <w:rFonts w:ascii="仿宋_GB2312" w:eastAsia="仿宋_GB2312"/>
          <w:kern w:val="0"/>
          <w:sz w:val="32"/>
          <w:szCs w:val="32"/>
          <w:lang w:bidi="en-US"/>
        </w:rPr>
        <w:t xml:space="preserve">   </w:t>
      </w:r>
      <w:r>
        <w:rPr>
          <w:rFonts w:hint="eastAsia" w:ascii="仿宋_GB2312" w:eastAsia="仿宋_GB2312"/>
          <w:kern w:val="0"/>
          <w:sz w:val="32"/>
          <w:szCs w:val="32"/>
          <w:lang w:bidi="en-US"/>
        </w:rPr>
        <w:t>月</w:t>
      </w:r>
      <w:r>
        <w:rPr>
          <w:rFonts w:ascii="仿宋_GB2312" w:eastAsia="仿宋_GB2312"/>
          <w:kern w:val="0"/>
          <w:sz w:val="32"/>
          <w:szCs w:val="32"/>
          <w:lang w:bidi="en-US"/>
        </w:rPr>
        <w:t xml:space="preserve">   </w:t>
      </w:r>
      <w:r>
        <w:rPr>
          <w:rFonts w:hint="eastAsia" w:ascii="仿宋_GB2312" w:eastAsia="仿宋_GB2312"/>
          <w:kern w:val="0"/>
          <w:sz w:val="32"/>
          <w:szCs w:val="32"/>
          <w:lang w:bidi="en-US"/>
        </w:rPr>
        <w:t>日</w:t>
      </w:r>
    </w:p>
    <w:p>
      <w:pPr>
        <w:widowControl/>
        <w:jc w:val="left"/>
        <w:rPr>
          <w:rFonts w:ascii="仿宋_GB2312" w:hAnsi="Times New Roman" w:eastAsia="仿宋_GB2312"/>
          <w:b/>
          <w:bCs/>
          <w:color w:val="000000"/>
          <w:kern w:val="0"/>
          <w:sz w:val="32"/>
          <w:szCs w:val="30"/>
          <w:lang w:bidi="en-US"/>
        </w:rPr>
      </w:pPr>
      <w:r>
        <w:rPr>
          <w:rFonts w:ascii="仿宋_GB2312" w:hAnsi="Times New Roman" w:eastAsia="仿宋_GB2312"/>
          <w:b/>
          <w:bCs/>
          <w:color w:val="000000"/>
          <w:kern w:val="0"/>
          <w:sz w:val="32"/>
          <w:szCs w:val="30"/>
          <w:lang w:bidi="en-US"/>
        </w:rPr>
        <w:br w:type="page"/>
      </w:r>
    </w:p>
    <w:p>
      <w:pPr>
        <w:adjustRightInd w:val="0"/>
        <w:snapToGrid w:val="0"/>
        <w:spacing w:line="560" w:lineRule="exact"/>
        <w:jc w:val="left"/>
        <w:outlineLvl w:val="0"/>
        <w:rPr>
          <w:rFonts w:ascii="黑体" w:hAnsi="黑体" w:eastAsia="黑体"/>
          <w:bCs/>
          <w:color w:val="000000"/>
          <w:kern w:val="0"/>
          <w:sz w:val="32"/>
          <w:szCs w:val="30"/>
          <w:lang w:bidi="en-US"/>
        </w:rPr>
      </w:pPr>
      <w:r>
        <w:rPr>
          <w:rFonts w:hint="eastAsia" w:ascii="黑体" w:hAnsi="黑体" w:eastAsia="黑体"/>
          <w:bCs/>
          <w:color w:val="000000"/>
          <w:kern w:val="0"/>
          <w:sz w:val="32"/>
          <w:szCs w:val="30"/>
          <w:lang w:bidi="en-US"/>
        </w:rPr>
        <w:t>附件4</w:t>
      </w:r>
      <w:r>
        <w:rPr>
          <w:rFonts w:ascii="黑体" w:hAnsi="黑体" w:eastAsia="黑体"/>
          <w:bCs/>
          <w:color w:val="000000"/>
          <w:kern w:val="0"/>
          <w:sz w:val="32"/>
          <w:szCs w:val="30"/>
          <w:lang w:bidi="en-US"/>
        </w:rPr>
        <w:t xml:space="preserve"> </w:t>
      </w:r>
    </w:p>
    <w:p>
      <w:pPr>
        <w:adjustRightInd w:val="0"/>
        <w:snapToGrid w:val="0"/>
        <w:spacing w:line="560" w:lineRule="exact"/>
        <w:jc w:val="left"/>
        <w:outlineLvl w:val="0"/>
        <w:rPr>
          <w:rFonts w:ascii="黑体" w:hAnsi="黑体" w:eastAsia="黑体"/>
          <w:bCs/>
          <w:color w:val="000000"/>
          <w:kern w:val="0"/>
          <w:sz w:val="32"/>
          <w:szCs w:val="30"/>
          <w:lang w:bidi="en-US"/>
        </w:rPr>
      </w:pPr>
    </w:p>
    <w:p>
      <w:pPr>
        <w:adjustRightInd w:val="0"/>
        <w:snapToGrid w:val="0"/>
        <w:spacing w:line="560" w:lineRule="exact"/>
        <w:jc w:val="center"/>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发行人基本情况简要披露参考文本</w:t>
      </w:r>
    </w:p>
    <w:p>
      <w:pPr>
        <w:adjustRightInd w:val="0"/>
        <w:snapToGrid w:val="0"/>
        <w:spacing w:line="560" w:lineRule="exact"/>
        <w:jc w:val="left"/>
        <w:outlineLvl w:val="0"/>
        <w:rPr>
          <w:rFonts w:ascii="黑体" w:hAnsi="黑体" w:eastAsia="黑体"/>
          <w:b/>
          <w:sz w:val="44"/>
          <w:szCs w:val="44"/>
        </w:rPr>
      </w:pPr>
    </w:p>
    <w:p>
      <w:pPr>
        <w:widowControl/>
        <w:spacing w:line="560" w:lineRule="exact"/>
        <w:jc w:val="center"/>
        <w:rPr>
          <w:rFonts w:ascii="黑体" w:hAnsi="黑体" w:eastAsia="黑体"/>
          <w:b/>
          <w:sz w:val="36"/>
          <w:szCs w:val="36"/>
        </w:rPr>
      </w:pPr>
      <w:r>
        <w:rPr>
          <w:rFonts w:hint="eastAsia" w:ascii="黑体" w:hAnsi="黑体" w:eastAsia="黑体"/>
          <w:b/>
          <w:sz w:val="36"/>
          <w:szCs w:val="36"/>
        </w:rPr>
        <w:t>第四节</w:t>
      </w:r>
      <w:r>
        <w:rPr>
          <w:rFonts w:ascii="黑体" w:hAnsi="黑体" w:eastAsia="黑体"/>
          <w:b/>
          <w:sz w:val="36"/>
          <w:szCs w:val="36"/>
        </w:rPr>
        <w:t xml:space="preserve"> </w:t>
      </w:r>
      <w:r>
        <w:rPr>
          <w:rFonts w:hint="eastAsia" w:ascii="黑体" w:hAnsi="黑体" w:eastAsia="黑体"/>
          <w:b/>
          <w:sz w:val="36"/>
          <w:szCs w:val="36"/>
        </w:rPr>
        <w:t>发行人基本情况</w:t>
      </w:r>
    </w:p>
    <w:p>
      <w:pPr>
        <w:widowControl/>
        <w:spacing w:line="560" w:lineRule="exact"/>
        <w:jc w:val="center"/>
        <w:rPr>
          <w:rFonts w:ascii="黑体" w:hAnsi="黑体" w:eastAsia="黑体"/>
          <w:b/>
          <w:sz w:val="44"/>
          <w:szCs w:val="44"/>
        </w:rPr>
      </w:pPr>
    </w:p>
    <w:p>
      <w:pPr>
        <w:spacing w:line="560" w:lineRule="exact"/>
        <w:ind w:firstLine="640" w:firstLineChars="200"/>
        <w:contextualSpacing/>
        <w:rPr>
          <w:rFonts w:ascii="仿宋_GB2312" w:hAnsi="仿宋" w:eastAsia="仿宋_GB2312" w:cs="Times New Roman"/>
          <w:bCs/>
          <w:sz w:val="32"/>
          <w:szCs w:val="32"/>
        </w:rPr>
      </w:pPr>
      <w:bookmarkStart w:id="1" w:name="_Toc72414211"/>
      <w:bookmarkStart w:id="2" w:name="_Toc72413854"/>
      <w:bookmarkStart w:id="3" w:name="_Toc72414032"/>
      <w:bookmarkStart w:id="4" w:name="_Toc55642380"/>
      <w:r>
        <w:rPr>
          <w:rFonts w:hint="eastAsia" w:ascii="仿宋_GB2312" w:hAnsi="仿宋" w:eastAsia="仿宋_GB2312" w:cs="Times New Roman"/>
          <w:bCs/>
          <w:sz w:val="32"/>
          <w:szCs w:val="32"/>
        </w:rPr>
        <w:t>【填写说明：附件</w:t>
      </w:r>
      <w:r>
        <w:rPr>
          <w:rFonts w:ascii="仿宋_GB2312" w:hAnsi="仿宋" w:eastAsia="仿宋_GB2312" w:cs="Times New Roman"/>
          <w:bCs/>
          <w:sz w:val="32"/>
          <w:szCs w:val="32"/>
        </w:rPr>
        <w:t>4仅对本指南规定的简要披露部分示例说明，其余部分发行人应结合相关法律法规、规范性文件等规定有针对性、详略适当地披露企业基本情况。】</w:t>
      </w:r>
      <w:bookmarkEnd w:id="1"/>
      <w:bookmarkEnd w:id="2"/>
      <w:bookmarkEnd w:id="3"/>
    </w:p>
    <w:bookmarkEnd w:id="4"/>
    <w:p>
      <w:pPr>
        <w:pStyle w:val="27"/>
        <w:spacing w:line="560" w:lineRule="exact"/>
        <w:ind w:firstLine="643"/>
        <w:rPr>
          <w:sz w:val="32"/>
          <w:szCs w:val="32"/>
        </w:rPr>
      </w:pPr>
      <w:bookmarkStart w:id="5" w:name="_Toc77601098"/>
      <w:bookmarkStart w:id="6" w:name="_Toc58834400"/>
    </w:p>
    <w:p>
      <w:pPr>
        <w:pStyle w:val="27"/>
        <w:spacing w:line="560" w:lineRule="exact"/>
        <w:ind w:firstLine="643"/>
        <w:rPr>
          <w:sz w:val="32"/>
          <w:szCs w:val="32"/>
        </w:rPr>
      </w:pPr>
      <w:r>
        <w:rPr>
          <w:rFonts w:hint="eastAsia"/>
          <w:sz w:val="32"/>
          <w:szCs w:val="32"/>
        </w:rPr>
        <w:t>二、发行人的历史沿革及重大资产重组情况</w:t>
      </w:r>
      <w:bookmarkEnd w:id="5"/>
      <w:bookmarkEnd w:id="6"/>
    </w:p>
    <w:p>
      <w:pPr>
        <w:pStyle w:val="27"/>
        <w:spacing w:line="560" w:lineRule="exact"/>
        <w:ind w:firstLine="643"/>
        <w:rPr>
          <w:sz w:val="32"/>
          <w:szCs w:val="32"/>
        </w:rPr>
      </w:pPr>
      <w:bookmarkStart w:id="7" w:name="_Toc58248242"/>
      <w:bookmarkStart w:id="8" w:name="_Toc58249792"/>
      <w:r>
        <w:rPr>
          <w:rFonts w:hint="eastAsia"/>
          <w:sz w:val="32"/>
          <w:szCs w:val="32"/>
        </w:rPr>
        <w:t>……</w:t>
      </w:r>
    </w:p>
    <w:p>
      <w:pPr>
        <w:spacing w:line="560" w:lineRule="exact"/>
        <w:ind w:firstLine="642" w:firstLineChars="200"/>
        <w:contextualSpacing/>
        <w:rPr>
          <w:rFonts w:ascii="仿宋_GB2312" w:hAnsi="仿宋" w:eastAsia="仿宋_GB2312" w:cs="Times New Roman"/>
          <w:b/>
          <w:bCs/>
          <w:sz w:val="32"/>
          <w:szCs w:val="32"/>
        </w:rPr>
      </w:pPr>
      <w:r>
        <w:rPr>
          <w:rFonts w:hint="eastAsia" w:ascii="仿宋_GB2312" w:hAnsi="仿宋" w:eastAsia="仿宋_GB2312" w:cs="Times New Roman"/>
          <w:b/>
          <w:bCs/>
          <w:sz w:val="32"/>
          <w:szCs w:val="32"/>
        </w:rPr>
        <w:t>（二）发行人历史沿革</w:t>
      </w:r>
      <w:bookmarkEnd w:id="7"/>
      <w:bookmarkEnd w:id="8"/>
    </w:p>
    <w:p>
      <w:pPr>
        <w:spacing w:line="560" w:lineRule="exact"/>
        <w:ind w:firstLine="640" w:firstLineChars="200"/>
        <w:contextualSpacing/>
        <w:rPr>
          <w:rFonts w:ascii="仿宋_GB2312" w:hAnsi="仿宋" w:eastAsia="仿宋_GB2312" w:cs="Times New Roman"/>
          <w:bCs/>
          <w:sz w:val="32"/>
          <w:szCs w:val="32"/>
        </w:rPr>
      </w:pPr>
      <w:bookmarkStart w:id="9" w:name="_Toc58248243"/>
      <w:bookmarkStart w:id="10" w:name="_Toc58249793"/>
      <w:r>
        <w:rPr>
          <w:rFonts w:hint="eastAsia" w:ascii="仿宋_GB2312" w:hAnsi="仿宋" w:eastAsia="仿宋_GB2312" w:cs="Times New Roman"/>
          <w:bCs/>
          <w:sz w:val="32"/>
          <w:szCs w:val="32"/>
        </w:rPr>
        <w:t>发行人历史沿革事件主要如下：</w:t>
      </w:r>
      <w:bookmarkEnd w:id="9"/>
      <w:bookmarkEnd w:id="10"/>
    </w:p>
    <w:tbl>
      <w:tblPr>
        <w:tblStyle w:val="11"/>
        <w:tblW w:w="7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268"/>
        <w:gridCol w:w="4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09" w:type="dxa"/>
            <w:gridSpan w:val="3"/>
            <w:vAlign w:val="center"/>
          </w:tcPr>
          <w:p>
            <w:pPr>
              <w:widowControl/>
              <w:jc w:val="center"/>
              <w:rPr>
                <w:rFonts w:ascii="仿宋_GB2312" w:eastAsia="仿宋_GB2312"/>
                <w:b/>
                <w:color w:val="000000"/>
                <w:kern w:val="0"/>
                <w:szCs w:val="21"/>
              </w:rPr>
            </w:pPr>
            <w:r>
              <w:rPr>
                <w:rFonts w:hint="eastAsia" w:ascii="仿宋_GB2312" w:eastAsia="仿宋_GB2312"/>
                <w:b/>
                <w:color w:val="000000"/>
                <w:kern w:val="0"/>
                <w:szCs w:val="21"/>
              </w:rPr>
              <w:t>发行人历史沿革信息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b/>
                <w:color w:val="000000"/>
                <w:kern w:val="0"/>
                <w:szCs w:val="21"/>
              </w:rPr>
            </w:pPr>
            <w:r>
              <w:rPr>
                <w:rFonts w:hint="eastAsia" w:ascii="仿宋_GB2312" w:eastAsia="仿宋_GB2312"/>
                <w:b/>
                <w:color w:val="000000"/>
                <w:kern w:val="0"/>
                <w:szCs w:val="21"/>
              </w:rPr>
              <w:t>序号</w:t>
            </w:r>
          </w:p>
        </w:tc>
        <w:tc>
          <w:tcPr>
            <w:tcW w:w="2268" w:type="dxa"/>
            <w:vAlign w:val="center"/>
          </w:tcPr>
          <w:p>
            <w:pPr>
              <w:widowControl/>
              <w:jc w:val="center"/>
              <w:rPr>
                <w:rFonts w:ascii="仿宋_GB2312" w:eastAsia="仿宋_GB2312"/>
                <w:b/>
                <w:color w:val="000000"/>
                <w:kern w:val="0"/>
                <w:szCs w:val="21"/>
              </w:rPr>
            </w:pPr>
            <w:r>
              <w:rPr>
                <w:rFonts w:hint="eastAsia" w:ascii="仿宋_GB2312" w:eastAsia="仿宋_GB2312"/>
                <w:b/>
                <w:color w:val="000000"/>
                <w:kern w:val="0"/>
                <w:szCs w:val="21"/>
              </w:rPr>
              <w:t>事件类型</w:t>
            </w:r>
          </w:p>
        </w:tc>
        <w:tc>
          <w:tcPr>
            <w:tcW w:w="4724" w:type="dxa"/>
            <w:vAlign w:val="center"/>
          </w:tcPr>
          <w:p>
            <w:pPr>
              <w:widowControl/>
              <w:jc w:val="center"/>
              <w:rPr>
                <w:rFonts w:ascii="仿宋_GB2312" w:eastAsia="仿宋_GB2312"/>
                <w:b/>
                <w:color w:val="000000"/>
                <w:kern w:val="0"/>
                <w:szCs w:val="21"/>
              </w:rPr>
            </w:pPr>
            <w:r>
              <w:rPr>
                <w:rFonts w:hint="eastAsia" w:ascii="仿宋_GB2312" w:eastAsia="仿宋_GB2312"/>
                <w:b/>
                <w:color w:val="000000"/>
                <w:kern w:val="0"/>
                <w:szCs w:val="21"/>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1</w:t>
            </w:r>
          </w:p>
        </w:tc>
        <w:tc>
          <w:tcPr>
            <w:tcW w:w="2268"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设立/改制/增资/其他</w:t>
            </w:r>
          </w:p>
        </w:tc>
        <w:tc>
          <w:tcPr>
            <w:tcW w:w="4724"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（以总结性文字简要阐述）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2</w:t>
            </w:r>
          </w:p>
        </w:tc>
        <w:tc>
          <w:tcPr>
            <w:tcW w:w="2268"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增资</w:t>
            </w:r>
          </w:p>
        </w:tc>
        <w:tc>
          <w:tcPr>
            <w:tcW w:w="4724" w:type="dxa"/>
            <w:vAlign w:val="center"/>
          </w:tcPr>
          <w:p>
            <w:pPr>
              <w:widowControl/>
              <w:jc w:val="center"/>
              <w:rPr>
                <w:rFonts w:ascii="仿宋_GB2312" w:eastAsia="仿宋_GB2312"/>
                <w:i/>
                <w:color w:val="000000"/>
                <w:kern w:val="0"/>
                <w:szCs w:val="21"/>
              </w:rPr>
            </w:pPr>
            <w:r>
              <w:rPr>
                <w:rFonts w:hint="eastAsia" w:ascii="仿宋_GB2312" w:eastAsia="仿宋_GB2312"/>
                <w:i/>
                <w:color w:val="000000"/>
                <w:kern w:val="0"/>
                <w:szCs w:val="21"/>
              </w:rPr>
              <w:t>例如：发行人于</w:t>
            </w:r>
            <w:r>
              <w:rPr>
                <w:rFonts w:ascii="仿宋_GB2312" w:eastAsia="仿宋_GB2312"/>
                <w:i/>
                <w:color w:val="000000"/>
                <w:kern w:val="0"/>
                <w:szCs w:val="21"/>
              </w:rPr>
              <w:t>XX时点、XX时点</w:t>
            </w:r>
            <w:r>
              <w:rPr>
                <w:rFonts w:hint="eastAsia" w:ascii="仿宋_GB2312" w:eastAsia="仿宋_GB2312"/>
                <w:i/>
                <w:color w:val="000000"/>
                <w:kern w:val="0"/>
                <w:szCs w:val="21"/>
              </w:rPr>
              <w:t>分别增资</w:t>
            </w:r>
            <w:r>
              <w:rPr>
                <w:rFonts w:ascii="仿宋_GB2312" w:eastAsia="仿宋_GB2312"/>
                <w:i/>
                <w:color w:val="000000"/>
                <w:kern w:val="0"/>
                <w:szCs w:val="21"/>
              </w:rPr>
              <w:t>XX</w:t>
            </w:r>
            <w:r>
              <w:rPr>
                <w:rFonts w:hint="eastAsia" w:ascii="仿宋_GB2312" w:eastAsia="仿宋_GB2312"/>
                <w:i/>
                <w:color w:val="000000"/>
                <w:kern w:val="0"/>
                <w:szCs w:val="21"/>
              </w:rPr>
              <w:t>亿元、</w:t>
            </w:r>
            <w:r>
              <w:rPr>
                <w:rFonts w:ascii="仿宋_GB2312" w:eastAsia="仿宋_GB2312"/>
                <w:i/>
                <w:color w:val="000000"/>
                <w:kern w:val="0"/>
                <w:szCs w:val="21"/>
              </w:rPr>
              <w:t>XX亿元……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3</w:t>
            </w:r>
          </w:p>
        </w:tc>
        <w:tc>
          <w:tcPr>
            <w:tcW w:w="2268" w:type="dxa"/>
            <w:vAlign w:val="center"/>
          </w:tcPr>
          <w:p>
            <w:pPr>
              <w:widowControl/>
              <w:jc w:val="center"/>
              <w:rPr>
                <w:rFonts w:ascii="仿宋_GB2312" w:eastAsia="仿宋_GB2312"/>
                <w:color w:val="000000"/>
                <w:kern w:val="0"/>
                <w:szCs w:val="21"/>
              </w:rPr>
            </w:pPr>
          </w:p>
        </w:tc>
        <w:tc>
          <w:tcPr>
            <w:tcW w:w="4724" w:type="dxa"/>
            <w:vAlign w:val="center"/>
          </w:tcPr>
          <w:p>
            <w:pPr>
              <w:widowControl/>
              <w:jc w:val="center"/>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4</w:t>
            </w:r>
          </w:p>
        </w:tc>
        <w:tc>
          <w:tcPr>
            <w:tcW w:w="2268" w:type="dxa"/>
            <w:vAlign w:val="center"/>
          </w:tcPr>
          <w:p>
            <w:pPr>
              <w:widowControl/>
              <w:jc w:val="center"/>
              <w:rPr>
                <w:rFonts w:ascii="仿宋_GB2312" w:eastAsia="仿宋_GB2312"/>
                <w:color w:val="000000"/>
                <w:kern w:val="0"/>
                <w:szCs w:val="21"/>
              </w:rPr>
            </w:pPr>
          </w:p>
        </w:tc>
        <w:tc>
          <w:tcPr>
            <w:tcW w:w="4724" w:type="dxa"/>
            <w:vAlign w:val="center"/>
          </w:tcPr>
          <w:p>
            <w:pPr>
              <w:widowControl/>
              <w:jc w:val="center"/>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5</w:t>
            </w:r>
          </w:p>
        </w:tc>
        <w:tc>
          <w:tcPr>
            <w:tcW w:w="2268" w:type="dxa"/>
            <w:vAlign w:val="center"/>
          </w:tcPr>
          <w:p>
            <w:pPr>
              <w:widowControl/>
              <w:jc w:val="center"/>
              <w:rPr>
                <w:rFonts w:ascii="仿宋_GB2312" w:eastAsia="仿宋_GB2312"/>
                <w:color w:val="000000"/>
                <w:kern w:val="0"/>
                <w:szCs w:val="21"/>
              </w:rPr>
            </w:pPr>
          </w:p>
        </w:tc>
        <w:tc>
          <w:tcPr>
            <w:tcW w:w="4724" w:type="dxa"/>
            <w:vAlign w:val="center"/>
          </w:tcPr>
          <w:p>
            <w:pPr>
              <w:widowControl/>
              <w:jc w:val="center"/>
              <w:rPr>
                <w:rFonts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6</w:t>
            </w:r>
          </w:p>
        </w:tc>
        <w:tc>
          <w:tcPr>
            <w:tcW w:w="2268" w:type="dxa"/>
            <w:vAlign w:val="center"/>
          </w:tcPr>
          <w:p>
            <w:pPr>
              <w:widowControl/>
              <w:jc w:val="center"/>
              <w:rPr>
                <w:rFonts w:ascii="仿宋_GB2312" w:eastAsia="仿宋_GB2312"/>
                <w:color w:val="000000"/>
                <w:kern w:val="0"/>
                <w:szCs w:val="21"/>
              </w:rPr>
            </w:pPr>
          </w:p>
        </w:tc>
        <w:tc>
          <w:tcPr>
            <w:tcW w:w="4724" w:type="dxa"/>
            <w:vAlign w:val="center"/>
          </w:tcPr>
          <w:p>
            <w:pPr>
              <w:widowControl/>
              <w:jc w:val="center"/>
              <w:rPr>
                <w:rFonts w:ascii="仿宋_GB2312" w:eastAsia="仿宋_GB2312"/>
                <w:color w:val="000000"/>
                <w:kern w:val="0"/>
                <w:szCs w:val="21"/>
              </w:rPr>
            </w:pPr>
          </w:p>
        </w:tc>
      </w:tr>
    </w:tbl>
    <w:p>
      <w:pPr>
        <w:spacing w:line="560" w:lineRule="exact"/>
        <w:ind w:firstLine="640" w:firstLineChars="200"/>
        <w:contextualSpacing/>
        <w:rPr>
          <w:rFonts w:ascii="仿宋_GB2312" w:hAnsi="仿宋" w:eastAsia="仿宋_GB2312" w:cs="Times New Roman"/>
          <w:bCs/>
          <w:sz w:val="32"/>
          <w:szCs w:val="32"/>
        </w:rPr>
      </w:pPr>
      <w:bookmarkStart w:id="11" w:name="_Toc58248245"/>
      <w:r>
        <w:rPr>
          <w:rFonts w:hint="eastAsia" w:ascii="仿宋_GB2312" w:hAnsi="仿宋" w:eastAsia="仿宋_GB2312" w:cs="Times New Roman"/>
          <w:sz w:val="32"/>
          <w:szCs w:val="32"/>
        </w:rPr>
        <w:t>□【重要事件】</w:t>
      </w:r>
      <w:bookmarkEnd w:id="11"/>
      <w:r>
        <w:rPr>
          <w:rFonts w:hint="eastAsia" w:ascii="仿宋_GB2312" w:hAnsi="仿宋" w:eastAsia="仿宋_GB2312" w:cs="Times New Roman"/>
          <w:bCs/>
          <w:sz w:val="32"/>
          <w:szCs w:val="32"/>
        </w:rPr>
        <w:t>存在对发行人偿债能力存在重大不利影响事件的，发行人应进行详细披露事件具体情况。</w:t>
      </w:r>
      <w:r>
        <w:rPr>
          <w:rFonts w:ascii="仿宋_GB2312" w:hAnsi="仿宋" w:eastAsia="仿宋_GB2312" w:cs="Times New Roman"/>
          <w:bCs/>
          <w:sz w:val="32"/>
          <w:szCs w:val="32"/>
        </w:rPr>
        <w:t>其他历史沿革信息可以通过</w:t>
      </w:r>
      <w:r>
        <w:rPr>
          <w:rFonts w:hint="eastAsia" w:ascii="仿宋_GB2312" w:hAnsi="仿宋" w:eastAsia="仿宋_GB2312" w:cs="Times New Roman"/>
          <w:bCs/>
          <w:sz w:val="32"/>
          <w:szCs w:val="32"/>
        </w:rPr>
        <w:t>前述</w:t>
      </w:r>
      <w:r>
        <w:rPr>
          <w:rFonts w:ascii="仿宋_GB2312" w:hAnsi="仿宋" w:eastAsia="仿宋_GB2312" w:cs="Times New Roman"/>
          <w:bCs/>
          <w:sz w:val="32"/>
          <w:szCs w:val="32"/>
        </w:rPr>
        <w:t>表格列示，</w:t>
      </w:r>
      <w:r>
        <w:rPr>
          <w:rFonts w:hint="eastAsia" w:ascii="仿宋_GB2312" w:hAnsi="仿宋" w:eastAsia="仿宋_GB2312" w:cs="Times New Roman"/>
          <w:bCs/>
          <w:sz w:val="32"/>
          <w:szCs w:val="32"/>
        </w:rPr>
        <w:t>无需</w:t>
      </w:r>
      <w:r>
        <w:rPr>
          <w:rFonts w:ascii="仿宋_GB2312" w:hAnsi="仿宋" w:eastAsia="仿宋_GB2312" w:cs="Times New Roman"/>
          <w:bCs/>
          <w:sz w:val="32"/>
          <w:szCs w:val="32"/>
        </w:rPr>
        <w:t>重复</w:t>
      </w:r>
      <w:r>
        <w:rPr>
          <w:rFonts w:hint="eastAsia" w:ascii="仿宋_GB2312" w:hAnsi="仿宋" w:eastAsia="仿宋_GB2312" w:cs="Times New Roman"/>
          <w:bCs/>
          <w:sz w:val="32"/>
          <w:szCs w:val="32"/>
        </w:rPr>
        <w:t>披露。</w:t>
      </w:r>
    </w:p>
    <w:p>
      <w:pPr>
        <w:spacing w:line="560" w:lineRule="exact"/>
        <w:ind w:firstLine="640" w:firstLineChars="200"/>
        <w:contextualSpacing/>
        <w:rPr>
          <w:rFonts w:ascii="仿宋_GB2312" w:hAnsi="仿宋" w:eastAsia="仿宋_GB2312" w:cs="Times New Roman"/>
          <w:sz w:val="32"/>
          <w:szCs w:val="32"/>
        </w:rPr>
      </w:pPr>
      <w:r>
        <w:rPr>
          <w:rFonts w:ascii="仿宋_GB2312" w:hAnsi="仿宋" w:eastAsia="仿宋_GB2312"/>
          <w:sz w:val="32"/>
          <w:szCs w:val="32"/>
        </w:rPr>
        <w:t>___________________________________________________</w:t>
      </w:r>
    </w:p>
    <w:p>
      <w:pPr>
        <w:spacing w:line="560" w:lineRule="exact"/>
        <w:ind w:firstLine="640" w:firstLineChars="200"/>
        <w:contextualSpacing/>
        <w:rPr>
          <w:rFonts w:ascii="仿宋_GB2312" w:hAnsi="仿宋" w:eastAsia="仿宋_GB2312" w:cs="Times New Roman"/>
          <w:bCs/>
          <w:sz w:val="32"/>
          <w:szCs w:val="32"/>
        </w:rPr>
      </w:pPr>
      <w:bookmarkStart w:id="12" w:name="_Toc58248246"/>
      <w:r>
        <w:rPr>
          <w:rFonts w:hint="eastAsia" w:ascii="仿宋_GB2312" w:hAnsi="仿宋" w:eastAsia="仿宋_GB2312" w:cs="Times New Roman"/>
          <w:bCs/>
          <w:sz w:val="32"/>
          <w:szCs w:val="32"/>
        </w:rPr>
        <w:t>□【发行人为上市公司】</w:t>
      </w:r>
      <w:bookmarkEnd w:id="12"/>
      <w:r>
        <w:rPr>
          <w:rFonts w:hint="eastAsia" w:ascii="仿宋_GB2312" w:hAnsi="仿宋" w:eastAsia="仿宋_GB2312" w:cs="Times New Roman"/>
          <w:bCs/>
          <w:sz w:val="32"/>
          <w:szCs w:val="32"/>
        </w:rPr>
        <w:t>发行人于</w:t>
      </w:r>
      <w:r>
        <w:rPr>
          <w:rFonts w:ascii="仿宋_GB2312" w:hAnsi="仿宋" w:eastAsia="仿宋_GB2312" w:cs="Times New Roman"/>
          <w:bCs/>
          <w:sz w:val="32"/>
          <w:szCs w:val="32"/>
        </w:rPr>
        <w:t>XXXX年XX月XX日在○上海证券交易所○</w:t>
      </w:r>
      <w:r>
        <w:rPr>
          <w:rStyle w:val="15"/>
          <w:rFonts w:ascii="仿宋_GB2312" w:hAnsi="仿宋" w:eastAsia="仿宋_GB2312" w:cs="Times New Roman"/>
          <w:bCs/>
          <w:sz w:val="32"/>
          <w:szCs w:val="32"/>
        </w:rPr>
        <w:footnoteReference w:id="0"/>
      </w:r>
      <w:r>
        <w:rPr>
          <w:rFonts w:ascii="仿宋_GB2312" w:hAnsi="仿宋" w:eastAsia="仿宋_GB2312" w:cs="Times New Roman"/>
          <w:bCs/>
          <w:sz w:val="32"/>
          <w:szCs w:val="32"/>
        </w:rPr>
        <w:t>深圳证券交易所○</w:t>
      </w:r>
      <w:r>
        <w:rPr>
          <w:rFonts w:ascii="仿宋_GB2312" w:eastAsia="仿宋_GB2312"/>
          <w:sz w:val="32"/>
          <w:szCs w:val="32"/>
        </w:rPr>
        <w:t>________</w:t>
      </w:r>
      <w:r>
        <w:rPr>
          <w:rFonts w:hint="eastAsia" w:ascii="仿宋_GB2312" w:eastAsia="仿宋_GB2312"/>
          <w:sz w:val="32"/>
          <w:szCs w:val="32"/>
        </w:rPr>
        <w:t>（</w:t>
      </w:r>
      <w:r>
        <w:rPr>
          <w:rFonts w:ascii="仿宋_GB2312" w:hAnsi="仿宋" w:eastAsia="仿宋_GB2312" w:cs="Times New Roman"/>
          <w:bCs/>
          <w:sz w:val="32"/>
          <w:szCs w:val="32"/>
        </w:rPr>
        <w:t>其他</w:t>
      </w:r>
      <w:r>
        <w:rPr>
          <w:rFonts w:hint="eastAsia" w:ascii="仿宋_GB2312" w:hAnsi="仿宋" w:eastAsia="仿宋_GB2312" w:cs="Times New Roman"/>
          <w:bCs/>
          <w:sz w:val="32"/>
          <w:szCs w:val="32"/>
        </w:rPr>
        <w:t>场所</w:t>
      </w:r>
      <w:r>
        <w:rPr>
          <w:rFonts w:ascii="仿宋_GB2312" w:hAnsi="仿宋" w:eastAsia="仿宋_GB2312" w:cs="Times New Roman"/>
          <w:bCs/>
          <w:sz w:val="32"/>
          <w:szCs w:val="32"/>
        </w:rPr>
        <w:t>）</w:t>
      </w:r>
      <w:r>
        <w:rPr>
          <w:rFonts w:hint="eastAsia" w:ascii="仿宋_GB2312" w:hAnsi="仿宋" w:eastAsia="仿宋_GB2312" w:cs="Times New Roman"/>
          <w:bCs/>
          <w:sz w:val="32"/>
          <w:szCs w:val="32"/>
        </w:rPr>
        <w:t>上市，股票代码为</w:t>
      </w:r>
      <w:r>
        <w:rPr>
          <w:rFonts w:ascii="仿宋_GB2312" w:eastAsia="仿宋_GB2312"/>
          <w:sz w:val="32"/>
          <w:szCs w:val="32"/>
        </w:rPr>
        <w:t>________</w:t>
      </w:r>
      <w:r>
        <w:rPr>
          <w:rFonts w:hint="eastAsia" w:ascii="仿宋_GB2312" w:hAnsi="仿宋" w:eastAsia="仿宋_GB2312" w:cs="Times New Roman"/>
          <w:bCs/>
          <w:sz w:val="32"/>
          <w:szCs w:val="32"/>
        </w:rPr>
        <w:t>。</w:t>
      </w:r>
      <w:bookmarkStart w:id="13" w:name="_Toc58248247"/>
    </w:p>
    <w:bookmarkEnd w:id="13"/>
    <w:p>
      <w:pPr>
        <w:pStyle w:val="27"/>
        <w:spacing w:line="560" w:lineRule="exact"/>
        <w:ind w:firstLine="643"/>
        <w:rPr>
          <w:sz w:val="32"/>
          <w:szCs w:val="32"/>
        </w:rPr>
      </w:pPr>
      <w:bookmarkStart w:id="14" w:name="_Toc58834402"/>
      <w:bookmarkStart w:id="15" w:name="_Toc77601100"/>
      <w:r>
        <w:rPr>
          <w:rFonts w:hint="eastAsia"/>
          <w:sz w:val="32"/>
          <w:szCs w:val="32"/>
        </w:rPr>
        <w:t>……</w:t>
      </w:r>
    </w:p>
    <w:p>
      <w:pPr>
        <w:pStyle w:val="27"/>
        <w:spacing w:line="560" w:lineRule="exact"/>
        <w:ind w:firstLine="643"/>
        <w:rPr>
          <w:sz w:val="32"/>
          <w:szCs w:val="32"/>
        </w:rPr>
      </w:pPr>
      <w:r>
        <w:rPr>
          <w:rFonts w:hint="eastAsia"/>
          <w:sz w:val="32"/>
          <w:szCs w:val="32"/>
        </w:rPr>
        <w:t>四、发行人的重要权益投资情况</w:t>
      </w:r>
      <w:r>
        <w:rPr>
          <w:rStyle w:val="15"/>
          <w:sz w:val="32"/>
          <w:szCs w:val="32"/>
        </w:rPr>
        <w:footnoteReference w:id="1"/>
      </w:r>
      <w:bookmarkEnd w:id="14"/>
      <w:bookmarkEnd w:id="15"/>
    </w:p>
    <w:p>
      <w:pPr>
        <w:spacing w:line="560" w:lineRule="exact"/>
        <w:ind w:firstLine="642" w:firstLineChars="200"/>
        <w:contextualSpacing/>
        <w:rPr>
          <w:rFonts w:ascii="仿宋_GB2312" w:hAnsi="仿宋" w:eastAsia="仿宋_GB2312" w:cs="Times New Roman"/>
          <w:bCs/>
          <w:sz w:val="32"/>
          <w:szCs w:val="32"/>
        </w:rPr>
      </w:pPr>
      <w:r>
        <w:rPr>
          <w:rFonts w:hint="eastAsia" w:ascii="仿宋_GB2312" w:hAnsi="仿宋" w:eastAsia="仿宋_GB2312" w:cs="Times New Roman"/>
          <w:b/>
          <w:bCs/>
          <w:sz w:val="32"/>
          <w:szCs w:val="32"/>
        </w:rPr>
        <w:t>……</w:t>
      </w:r>
    </w:p>
    <w:p>
      <w:pPr>
        <w:spacing w:line="560" w:lineRule="exact"/>
        <w:ind w:firstLine="642" w:firstLineChars="200"/>
        <w:contextualSpacing/>
        <w:rPr>
          <w:rFonts w:ascii="仿宋_GB2312" w:hAnsi="仿宋" w:eastAsia="仿宋_GB2312" w:cs="Times New Roman"/>
          <w:b/>
          <w:bCs/>
          <w:sz w:val="32"/>
          <w:szCs w:val="32"/>
        </w:rPr>
      </w:pPr>
      <w:bookmarkStart w:id="16" w:name="_Toc72414219"/>
      <w:bookmarkStart w:id="17" w:name="_Toc58249798"/>
      <w:bookmarkStart w:id="18" w:name="_Toc72414040"/>
      <w:bookmarkStart w:id="19" w:name="_Toc58248253"/>
      <w:r>
        <w:rPr>
          <w:rFonts w:hint="eastAsia" w:ascii="仿宋_GB2312" w:hAnsi="仿宋" w:eastAsia="仿宋_GB2312" w:cs="Times New Roman"/>
          <w:b/>
          <w:bCs/>
          <w:sz w:val="32"/>
          <w:szCs w:val="32"/>
        </w:rPr>
        <w:t>（二）参股公司情况</w:t>
      </w:r>
      <w:bookmarkEnd w:id="16"/>
      <w:bookmarkEnd w:id="17"/>
      <w:bookmarkEnd w:id="18"/>
      <w:bookmarkEnd w:id="19"/>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【填写说明：非公开发行公司债券适用此处简明信息披露安排。】</w:t>
      </w:r>
    </w:p>
    <w:p>
      <w:pPr>
        <w:spacing w:line="560" w:lineRule="exact"/>
        <w:ind w:firstLine="640" w:firstLineChars="200"/>
        <w:contextualSpacing/>
        <w:rPr>
          <w:rFonts w:ascii="仿宋_GB2312" w:hAnsi="仿宋" w:eastAsia="仿宋_GB2312"/>
          <w:sz w:val="32"/>
          <w:szCs w:val="32"/>
        </w:rPr>
      </w:pPr>
      <w:r>
        <w:rPr>
          <w:rFonts w:hint="eastAsia" w:ascii="仿宋_GB2312" w:hAnsi="仿宋" w:eastAsia="仿宋_GB2312" w:cs="Times New Roman"/>
          <w:bCs/>
          <w:sz w:val="32"/>
          <w:szCs w:val="32"/>
        </w:rPr>
        <w:t>○</w:t>
      </w:r>
      <w:r>
        <w:rPr>
          <w:rFonts w:hint="eastAsia" w:ascii="仿宋_GB2312" w:hAnsi="黑体" w:eastAsia="仿宋_GB2312"/>
          <w:sz w:val="32"/>
          <w:szCs w:val="32"/>
        </w:rPr>
        <w:t>报告期内，发行人不存在对净利润造成重大不利影响的重要的参股公司、合营企业和联营企业的，可以豁免披露上述企业的基本情况、主营业务、近一年的主要财务数据及其重大增减变动的情况及原因。</w:t>
      </w:r>
    </w:p>
    <w:p>
      <w:pPr>
        <w:spacing w:line="560" w:lineRule="exact"/>
        <w:ind w:firstLine="640" w:firstLineChars="200"/>
        <w:contextualSpacing/>
        <w:rPr>
          <w:rFonts w:ascii="仿宋_GB2312" w:hAnsi="仿宋" w:eastAsia="仿宋_GB2312"/>
          <w:sz w:val="32"/>
          <w:szCs w:val="32"/>
        </w:rPr>
      </w:pPr>
      <w:r>
        <w:rPr>
          <w:rFonts w:hint="eastAsia" w:ascii="仿宋_GB2312" w:hAnsi="仿宋" w:eastAsia="仿宋_GB2312" w:cs="Times New Roman"/>
          <w:bCs/>
          <w:sz w:val="32"/>
          <w:szCs w:val="32"/>
        </w:rPr>
        <w:t>○存在报告期内对发行人净利润造成重大不利影响的重要的参股公司、合营企业和联营企业的，应按如下格式进行披露：</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sz w:val="32"/>
          <w:szCs w:val="32"/>
        </w:rPr>
        <w:t>截至最近一年末，对发行人净利润造成重大不利影响的</w:t>
      </w:r>
      <w:r>
        <w:rPr>
          <w:rFonts w:hint="eastAsia" w:ascii="仿宋_GB2312" w:hAnsi="仿宋" w:eastAsia="仿宋_GB2312" w:cs="Times New Roman"/>
          <w:bCs/>
          <w:color w:val="000000" w:themeColor="text1"/>
          <w:sz w:val="32"/>
          <w:szCs w:val="32"/>
        </w:rPr>
        <w:t>参股公司、合营企业和联营企业</w:t>
      </w:r>
      <w:r>
        <w:rPr>
          <w:rStyle w:val="15"/>
          <w:rFonts w:ascii="仿宋_GB2312" w:hAnsi="仿宋" w:eastAsia="仿宋_GB2312" w:cs="Times New Roman"/>
          <w:bCs/>
          <w:color w:val="000000" w:themeColor="text1"/>
          <w:sz w:val="32"/>
          <w:szCs w:val="32"/>
        </w:rPr>
        <w:footnoteReference w:id="2"/>
      </w:r>
      <w:r>
        <w:rPr>
          <w:rFonts w:ascii="仿宋_GB2312" w:hAnsi="仿宋" w:eastAsia="仿宋_GB2312" w:cs="Times New Roman"/>
          <w:bCs/>
          <w:color w:val="000000" w:themeColor="text1"/>
          <w:sz w:val="32"/>
          <w:szCs w:val="32"/>
        </w:rPr>
        <w:t>XX家，情况如下：</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2"/>
        <w:gridCol w:w="1306"/>
        <w:gridCol w:w="1389"/>
        <w:gridCol w:w="689"/>
        <w:gridCol w:w="708"/>
        <w:gridCol w:w="709"/>
        <w:gridCol w:w="709"/>
        <w:gridCol w:w="567"/>
        <w:gridCol w:w="709"/>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0" w:type="auto"/>
            <w:gridSpan w:val="10"/>
          </w:tcPr>
          <w:p>
            <w:pPr>
              <w:jc w:val="center"/>
              <w:rPr>
                <w:rFonts w:ascii="仿宋_GB2312" w:hAnsi="Times" w:eastAsia="仿宋_GB2312" w:cs="Times New Roman"/>
                <w:b/>
                <w:szCs w:val="21"/>
              </w:rPr>
            </w:pPr>
            <w:r>
              <w:rPr>
                <w:rFonts w:hint="eastAsia" w:ascii="仿宋_GB2312" w:hAnsi="Times" w:eastAsia="仿宋_GB2312" w:cs="Times New Roman"/>
                <w:b/>
                <w:szCs w:val="21"/>
              </w:rPr>
              <w:t>重要参股公司、合营企业和联营企业的具体</w:t>
            </w:r>
            <w:r>
              <w:rPr>
                <w:rFonts w:ascii="仿宋_GB2312" w:hAnsi="Times" w:eastAsia="仿宋_GB2312" w:cs="Times New Roman"/>
                <w:b/>
                <w:szCs w:val="21"/>
              </w:rPr>
              <w:t>情况</w:t>
            </w:r>
          </w:p>
          <w:p>
            <w:pPr>
              <w:jc w:val="right"/>
              <w:rPr>
                <w:rFonts w:ascii="仿宋_GB2312" w:hAnsi="Times" w:eastAsia="仿宋_GB2312" w:cs="Times New Roman"/>
                <w:b/>
                <w:szCs w:val="21"/>
              </w:rPr>
            </w:pPr>
            <w:r>
              <w:rPr>
                <w:rFonts w:hint="eastAsia" w:ascii="仿宋_GB2312" w:hAnsi="Times" w:eastAsia="仿宋_GB2312" w:cs="Times New Roman"/>
                <w:szCs w:val="21"/>
              </w:rPr>
              <w:t>单位：亿元、</w:t>
            </w:r>
            <w:r>
              <w:rPr>
                <w:rFonts w:ascii="仿宋_GB2312" w:hAnsi="Times" w:eastAsia="仿宋_GB2312"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0" w:type="auto"/>
            <w:shd w:val="clear" w:color="auto" w:fill="auto"/>
            <w:vAlign w:val="center"/>
          </w:tcPr>
          <w:p>
            <w:pPr>
              <w:widowControl/>
              <w:jc w:val="center"/>
              <w:rPr>
                <w:rFonts w:ascii="仿宋_GB2312" w:hAnsi="Times" w:eastAsia="仿宋_GB2312" w:cs="Times New Roman"/>
                <w:b/>
                <w:kern w:val="0"/>
                <w:szCs w:val="21"/>
              </w:rPr>
            </w:pPr>
            <w:r>
              <w:rPr>
                <w:rFonts w:ascii="仿宋_GB2312" w:hAnsi="Times" w:eastAsia="仿宋_GB2312" w:cs="Times New Roman"/>
                <w:b/>
                <w:kern w:val="0"/>
                <w:szCs w:val="21"/>
              </w:rPr>
              <w:t>序号</w:t>
            </w:r>
          </w:p>
        </w:tc>
        <w:tc>
          <w:tcPr>
            <w:tcW w:w="0" w:type="auto"/>
            <w:shd w:val="clear" w:color="auto" w:fill="auto"/>
            <w:vAlign w:val="center"/>
          </w:tcPr>
          <w:p>
            <w:pPr>
              <w:widowControl/>
              <w:jc w:val="center"/>
              <w:rPr>
                <w:rFonts w:ascii="仿宋_GB2312" w:hAnsi="Times" w:eastAsia="仿宋_GB2312" w:cs="Times New Roman"/>
                <w:b/>
                <w:kern w:val="0"/>
                <w:szCs w:val="21"/>
              </w:rPr>
            </w:pPr>
            <w:r>
              <w:rPr>
                <w:rFonts w:ascii="仿宋_GB2312" w:hAnsi="Times" w:eastAsia="仿宋_GB2312" w:cs="Times New Roman"/>
                <w:b/>
                <w:kern w:val="0"/>
                <w:szCs w:val="21"/>
              </w:rPr>
              <w:t>企业名称</w:t>
            </w:r>
          </w:p>
        </w:tc>
        <w:tc>
          <w:tcPr>
            <w:tcW w:w="0" w:type="auto"/>
            <w:shd w:val="clear" w:color="auto" w:fill="auto"/>
            <w:vAlign w:val="center"/>
          </w:tcPr>
          <w:p>
            <w:pPr>
              <w:widowControl/>
              <w:jc w:val="center"/>
              <w:rPr>
                <w:rFonts w:ascii="仿宋_GB2312" w:hAnsi="Times" w:eastAsia="仿宋_GB2312" w:cs="Times New Roman"/>
                <w:b/>
                <w:kern w:val="0"/>
                <w:szCs w:val="21"/>
              </w:rPr>
            </w:pPr>
            <w:r>
              <w:rPr>
                <w:rFonts w:hint="eastAsia" w:ascii="仿宋_GB2312" w:hAnsi="Times" w:eastAsia="仿宋_GB2312" w:cs="Times New Roman"/>
                <w:b/>
                <w:kern w:val="0"/>
                <w:szCs w:val="21"/>
              </w:rPr>
              <w:t>主要营业收入板块</w:t>
            </w:r>
          </w:p>
        </w:tc>
        <w:tc>
          <w:tcPr>
            <w:tcW w:w="689" w:type="dxa"/>
            <w:vAlign w:val="center"/>
          </w:tcPr>
          <w:p>
            <w:pPr>
              <w:widowControl/>
              <w:jc w:val="center"/>
              <w:rPr>
                <w:rFonts w:ascii="仿宋_GB2312" w:hAnsi="Times" w:eastAsia="仿宋_GB2312" w:cs="Times New Roman"/>
                <w:b/>
                <w:kern w:val="0"/>
                <w:szCs w:val="21"/>
              </w:rPr>
            </w:pPr>
            <w:r>
              <w:rPr>
                <w:rFonts w:hint="eastAsia" w:ascii="仿宋_GB2312" w:hAnsi="Times" w:eastAsia="仿宋_GB2312" w:cs="Times New Roman"/>
                <w:b/>
                <w:kern w:val="0"/>
                <w:szCs w:val="21"/>
              </w:rPr>
              <w:t>持股比例</w:t>
            </w:r>
          </w:p>
        </w:tc>
        <w:tc>
          <w:tcPr>
            <w:tcW w:w="708" w:type="dxa"/>
            <w:shd w:val="clear" w:color="auto" w:fill="auto"/>
            <w:vAlign w:val="center"/>
          </w:tcPr>
          <w:p>
            <w:pPr>
              <w:widowControl/>
              <w:jc w:val="center"/>
              <w:rPr>
                <w:rFonts w:ascii="仿宋_GB2312" w:hAnsi="Times" w:eastAsia="仿宋_GB2312" w:cs="Times New Roman"/>
                <w:b/>
                <w:szCs w:val="21"/>
              </w:rPr>
            </w:pPr>
            <w:r>
              <w:rPr>
                <w:rFonts w:hint="eastAsia" w:ascii="仿宋_GB2312" w:hAnsi="Times" w:eastAsia="仿宋_GB2312" w:cs="Times New Roman"/>
                <w:b/>
                <w:kern w:val="0"/>
                <w:szCs w:val="21"/>
              </w:rPr>
              <w:t>资产</w:t>
            </w:r>
          </w:p>
        </w:tc>
        <w:tc>
          <w:tcPr>
            <w:tcW w:w="709" w:type="dxa"/>
            <w:shd w:val="clear" w:color="auto" w:fill="auto"/>
            <w:vAlign w:val="center"/>
          </w:tcPr>
          <w:p>
            <w:pPr>
              <w:widowControl/>
              <w:jc w:val="center"/>
              <w:rPr>
                <w:rFonts w:ascii="仿宋_GB2312" w:hAnsi="Times" w:eastAsia="仿宋_GB2312" w:cs="Times New Roman"/>
                <w:b/>
                <w:kern w:val="0"/>
                <w:szCs w:val="21"/>
              </w:rPr>
            </w:pPr>
            <w:r>
              <w:rPr>
                <w:rFonts w:hint="eastAsia" w:ascii="仿宋_GB2312" w:hAnsi="Times" w:eastAsia="仿宋_GB2312" w:cs="Times New Roman"/>
                <w:b/>
                <w:kern w:val="0"/>
                <w:szCs w:val="21"/>
              </w:rPr>
              <w:t>负债</w:t>
            </w:r>
          </w:p>
        </w:tc>
        <w:tc>
          <w:tcPr>
            <w:tcW w:w="709" w:type="dxa"/>
            <w:vAlign w:val="center"/>
          </w:tcPr>
          <w:p>
            <w:pPr>
              <w:widowControl/>
              <w:jc w:val="center"/>
              <w:rPr>
                <w:rFonts w:ascii="仿宋_GB2312" w:hAnsi="Times" w:eastAsia="仿宋_GB2312" w:cs="Times New Roman"/>
                <w:b/>
                <w:kern w:val="0"/>
                <w:szCs w:val="21"/>
              </w:rPr>
            </w:pPr>
            <w:r>
              <w:rPr>
                <w:rFonts w:hint="eastAsia" w:ascii="仿宋_GB2312" w:hAnsi="Times" w:eastAsia="仿宋_GB2312" w:cs="Times New Roman"/>
                <w:b/>
                <w:kern w:val="0"/>
                <w:szCs w:val="21"/>
              </w:rPr>
              <w:t>净资产</w:t>
            </w:r>
          </w:p>
        </w:tc>
        <w:tc>
          <w:tcPr>
            <w:tcW w:w="567" w:type="dxa"/>
            <w:vAlign w:val="center"/>
          </w:tcPr>
          <w:p>
            <w:pPr>
              <w:widowControl/>
              <w:jc w:val="center"/>
              <w:rPr>
                <w:rFonts w:ascii="仿宋_GB2312" w:hAnsi="Times" w:eastAsia="仿宋_GB2312" w:cs="Times New Roman"/>
                <w:b/>
                <w:kern w:val="0"/>
                <w:szCs w:val="21"/>
              </w:rPr>
            </w:pPr>
            <w:r>
              <w:rPr>
                <w:rFonts w:hint="eastAsia" w:ascii="仿宋_GB2312" w:hAnsi="Times" w:eastAsia="仿宋_GB2312" w:cs="Times New Roman"/>
                <w:b/>
                <w:kern w:val="0"/>
                <w:szCs w:val="21"/>
              </w:rPr>
              <w:t>收入</w:t>
            </w:r>
          </w:p>
        </w:tc>
        <w:tc>
          <w:tcPr>
            <w:tcW w:w="709" w:type="dxa"/>
            <w:vAlign w:val="center"/>
          </w:tcPr>
          <w:p>
            <w:pPr>
              <w:widowControl/>
              <w:jc w:val="center"/>
              <w:rPr>
                <w:rFonts w:ascii="仿宋_GB2312" w:hAnsi="Times" w:eastAsia="仿宋_GB2312" w:cs="Times New Roman"/>
                <w:b/>
                <w:kern w:val="0"/>
                <w:szCs w:val="21"/>
              </w:rPr>
            </w:pPr>
            <w:r>
              <w:rPr>
                <w:rFonts w:hint="eastAsia" w:ascii="仿宋_GB2312" w:hAnsi="Times" w:eastAsia="仿宋_GB2312" w:cs="Times New Roman"/>
                <w:b/>
                <w:kern w:val="0"/>
                <w:szCs w:val="21"/>
              </w:rPr>
              <w:t>净利润</w:t>
            </w:r>
          </w:p>
        </w:tc>
        <w:tc>
          <w:tcPr>
            <w:tcW w:w="1184" w:type="dxa"/>
            <w:vAlign w:val="center"/>
          </w:tcPr>
          <w:p>
            <w:pPr>
              <w:widowControl/>
              <w:jc w:val="center"/>
              <w:rPr>
                <w:rFonts w:ascii="仿宋_GB2312" w:hAnsi="Times" w:eastAsia="仿宋_GB2312" w:cs="Times New Roman"/>
                <w:b/>
                <w:kern w:val="0"/>
                <w:szCs w:val="21"/>
              </w:rPr>
            </w:pPr>
            <w:r>
              <w:rPr>
                <w:rFonts w:hint="eastAsia" w:ascii="仿宋_GB2312" w:hAnsi="Times" w:eastAsia="仿宋_GB2312" w:cs="Times New Roman"/>
                <w:b/>
                <w:kern w:val="0"/>
                <w:szCs w:val="21"/>
              </w:rPr>
              <w:t>是否存在重大增减变动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pPr>
              <w:widowControl/>
              <w:jc w:val="center"/>
              <w:rPr>
                <w:rFonts w:ascii="仿宋_GB2312" w:hAnsi="Times" w:eastAsia="仿宋_GB2312" w:cs="Times New Roman"/>
                <w:bCs/>
                <w:kern w:val="0"/>
                <w:szCs w:val="21"/>
              </w:rPr>
            </w:pPr>
            <w:r>
              <w:rPr>
                <w:rFonts w:ascii="仿宋_GB2312" w:hAnsi="Times" w:eastAsia="仿宋_GB2312" w:cs="Times New Roman"/>
                <w:bCs/>
                <w:kern w:val="0"/>
                <w:szCs w:val="21"/>
              </w:rPr>
              <w:t>1</w:t>
            </w:r>
          </w:p>
        </w:tc>
        <w:tc>
          <w:tcPr>
            <w:tcW w:w="0" w:type="auto"/>
            <w:shd w:val="clear" w:color="auto" w:fill="auto"/>
            <w:vAlign w:val="center"/>
          </w:tcPr>
          <w:p>
            <w:pPr>
              <w:widowControl/>
              <w:rPr>
                <w:rFonts w:ascii="仿宋_GB2312" w:hAnsi="Times" w:eastAsia="仿宋_GB2312" w:cs="Times New Roman"/>
                <w:bCs/>
                <w:szCs w:val="21"/>
              </w:rPr>
            </w:pPr>
            <w:r>
              <w:rPr>
                <w:rFonts w:hint="eastAsia" w:ascii="仿宋_GB2312" w:eastAsia="仿宋_GB2312"/>
                <w:szCs w:val="21"/>
              </w:rPr>
              <w:t>________</w:t>
            </w:r>
            <w:r>
              <w:rPr>
                <w:rFonts w:ascii="仿宋_GB2312" w:hAnsi="Times" w:eastAsia="仿宋_GB2312" w:cs="Times New Roman"/>
                <w:bCs/>
                <w:szCs w:val="21"/>
              </w:rPr>
              <w:t>公司</w:t>
            </w:r>
          </w:p>
        </w:tc>
        <w:tc>
          <w:tcPr>
            <w:tcW w:w="0" w:type="auto"/>
            <w:shd w:val="clear" w:color="auto" w:fill="auto"/>
            <w:vAlign w:val="center"/>
          </w:tcPr>
          <w:p>
            <w:pPr>
              <w:widowControl/>
              <w:rPr>
                <w:rFonts w:ascii="仿宋_GB2312" w:hAnsi="Times" w:eastAsia="仿宋_GB2312" w:cs="Times New Roman"/>
                <w:bCs/>
                <w:szCs w:val="21"/>
              </w:rPr>
            </w:pPr>
            <w:r>
              <w:rPr>
                <w:rFonts w:hint="eastAsia" w:ascii="仿宋_GB2312" w:hAnsi="Times" w:eastAsia="仿宋_GB2312" w:cs="Times New Roman"/>
                <w:szCs w:val="21"/>
              </w:rPr>
              <w:t>（简要概述）</w:t>
            </w:r>
          </w:p>
        </w:tc>
        <w:tc>
          <w:tcPr>
            <w:tcW w:w="689" w:type="dxa"/>
          </w:tcPr>
          <w:p>
            <w:pPr>
              <w:widowControl/>
              <w:jc w:val="right"/>
              <w:rPr>
                <w:rFonts w:ascii="仿宋_GB2312" w:hAnsi="Times" w:eastAsia="仿宋_GB2312" w:cs="Times New Roman"/>
                <w:szCs w:val="21"/>
              </w:rPr>
            </w:pPr>
          </w:p>
        </w:tc>
        <w:tc>
          <w:tcPr>
            <w:tcW w:w="708" w:type="dxa"/>
            <w:shd w:val="clear" w:color="auto" w:fill="auto"/>
            <w:vAlign w:val="center"/>
          </w:tcPr>
          <w:p>
            <w:pPr>
              <w:widowControl/>
              <w:jc w:val="right"/>
              <w:rPr>
                <w:rFonts w:ascii="仿宋_GB2312" w:hAnsi="Times" w:eastAsia="仿宋_GB2312" w:cs="Times New Roman"/>
                <w:szCs w:val="21"/>
              </w:rPr>
            </w:pPr>
          </w:p>
        </w:tc>
        <w:tc>
          <w:tcPr>
            <w:tcW w:w="709" w:type="dxa"/>
            <w:shd w:val="clear" w:color="auto" w:fill="auto"/>
            <w:vAlign w:val="center"/>
          </w:tcPr>
          <w:p>
            <w:pPr>
              <w:widowControl/>
              <w:jc w:val="right"/>
              <w:rPr>
                <w:rFonts w:ascii="仿宋_GB2312" w:hAnsi="Times" w:eastAsia="仿宋_GB2312" w:cs="Times New Roman"/>
                <w:bCs/>
                <w:szCs w:val="21"/>
              </w:rPr>
            </w:pPr>
          </w:p>
        </w:tc>
        <w:tc>
          <w:tcPr>
            <w:tcW w:w="709" w:type="dxa"/>
            <w:vAlign w:val="center"/>
          </w:tcPr>
          <w:p>
            <w:pPr>
              <w:widowControl/>
              <w:jc w:val="right"/>
              <w:rPr>
                <w:rFonts w:ascii="仿宋_GB2312" w:hAnsi="Times" w:eastAsia="仿宋_GB2312" w:cs="Times New Roman"/>
                <w:bCs/>
                <w:szCs w:val="21"/>
              </w:rPr>
            </w:pPr>
          </w:p>
        </w:tc>
        <w:tc>
          <w:tcPr>
            <w:tcW w:w="567" w:type="dxa"/>
            <w:vAlign w:val="center"/>
          </w:tcPr>
          <w:p>
            <w:pPr>
              <w:widowControl/>
              <w:jc w:val="right"/>
              <w:rPr>
                <w:rFonts w:ascii="仿宋_GB2312" w:hAnsi="Times" w:eastAsia="仿宋_GB2312" w:cs="Times New Roman"/>
                <w:bCs/>
                <w:szCs w:val="21"/>
              </w:rPr>
            </w:pPr>
          </w:p>
        </w:tc>
        <w:tc>
          <w:tcPr>
            <w:tcW w:w="709" w:type="dxa"/>
            <w:vAlign w:val="center"/>
          </w:tcPr>
          <w:p>
            <w:pPr>
              <w:widowControl/>
              <w:jc w:val="right"/>
              <w:rPr>
                <w:rFonts w:ascii="仿宋_GB2312" w:hAnsi="Times" w:eastAsia="仿宋_GB2312" w:cs="Times New Roman"/>
                <w:bCs/>
                <w:szCs w:val="21"/>
              </w:rPr>
            </w:pPr>
          </w:p>
        </w:tc>
        <w:tc>
          <w:tcPr>
            <w:tcW w:w="1184" w:type="dxa"/>
            <w:vAlign w:val="center"/>
          </w:tcPr>
          <w:p>
            <w:pPr>
              <w:widowControl/>
              <w:jc w:val="right"/>
              <w:rPr>
                <w:rFonts w:ascii="仿宋_GB2312" w:hAnsi="Times"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pPr>
              <w:widowControl/>
              <w:jc w:val="center"/>
              <w:rPr>
                <w:rFonts w:ascii="仿宋_GB2312" w:hAnsi="Times" w:eastAsia="仿宋_GB2312" w:cs="Times New Roman"/>
                <w:bCs/>
                <w:kern w:val="0"/>
                <w:szCs w:val="21"/>
              </w:rPr>
            </w:pPr>
            <w:r>
              <w:rPr>
                <w:rFonts w:ascii="仿宋_GB2312" w:hAnsi="Times" w:eastAsia="仿宋_GB2312" w:cs="Times New Roman"/>
                <w:bCs/>
                <w:kern w:val="0"/>
                <w:szCs w:val="21"/>
              </w:rPr>
              <w:t>2</w:t>
            </w:r>
          </w:p>
        </w:tc>
        <w:tc>
          <w:tcPr>
            <w:tcW w:w="0" w:type="auto"/>
            <w:shd w:val="clear" w:color="auto" w:fill="auto"/>
            <w:vAlign w:val="center"/>
          </w:tcPr>
          <w:p>
            <w:pPr>
              <w:widowControl/>
              <w:rPr>
                <w:rFonts w:ascii="仿宋_GB2312" w:hAnsi="Times" w:eastAsia="仿宋_GB2312" w:cs="Times New Roman"/>
                <w:bCs/>
                <w:szCs w:val="21"/>
              </w:rPr>
            </w:pPr>
            <w:r>
              <w:rPr>
                <w:rFonts w:hint="eastAsia" w:ascii="仿宋_GB2312" w:eastAsia="仿宋_GB2312"/>
                <w:szCs w:val="21"/>
              </w:rPr>
              <w:t>________</w:t>
            </w:r>
            <w:r>
              <w:rPr>
                <w:rFonts w:ascii="仿宋_GB2312" w:hAnsi="Times" w:eastAsia="仿宋_GB2312" w:cs="Times New Roman"/>
                <w:bCs/>
                <w:szCs w:val="21"/>
              </w:rPr>
              <w:t>公司</w:t>
            </w:r>
          </w:p>
        </w:tc>
        <w:tc>
          <w:tcPr>
            <w:tcW w:w="0" w:type="auto"/>
            <w:shd w:val="clear" w:color="auto" w:fill="auto"/>
            <w:vAlign w:val="center"/>
          </w:tcPr>
          <w:p>
            <w:pPr>
              <w:widowControl/>
              <w:rPr>
                <w:rFonts w:ascii="仿宋_GB2312" w:hAnsi="Times" w:eastAsia="仿宋_GB2312" w:cs="Times New Roman"/>
                <w:bCs/>
                <w:szCs w:val="21"/>
              </w:rPr>
            </w:pPr>
            <w:r>
              <w:rPr>
                <w:rFonts w:hint="eastAsia" w:ascii="仿宋_GB2312" w:hAnsi="Times" w:eastAsia="仿宋_GB2312" w:cs="Times New Roman"/>
                <w:szCs w:val="21"/>
              </w:rPr>
              <w:t>（简要概述）</w:t>
            </w:r>
          </w:p>
        </w:tc>
        <w:tc>
          <w:tcPr>
            <w:tcW w:w="689" w:type="dxa"/>
          </w:tcPr>
          <w:p>
            <w:pPr>
              <w:widowControl/>
              <w:jc w:val="right"/>
              <w:rPr>
                <w:rFonts w:ascii="仿宋_GB2312" w:hAnsi="Times" w:eastAsia="仿宋_GB2312" w:cs="Times New Roman"/>
                <w:szCs w:val="21"/>
              </w:rPr>
            </w:pPr>
          </w:p>
        </w:tc>
        <w:tc>
          <w:tcPr>
            <w:tcW w:w="708" w:type="dxa"/>
            <w:shd w:val="clear" w:color="auto" w:fill="auto"/>
            <w:vAlign w:val="center"/>
          </w:tcPr>
          <w:p>
            <w:pPr>
              <w:widowControl/>
              <w:jc w:val="right"/>
              <w:rPr>
                <w:rFonts w:ascii="仿宋_GB2312" w:hAnsi="Times" w:eastAsia="仿宋_GB2312" w:cs="Times New Roman"/>
                <w:szCs w:val="21"/>
              </w:rPr>
            </w:pPr>
          </w:p>
        </w:tc>
        <w:tc>
          <w:tcPr>
            <w:tcW w:w="709" w:type="dxa"/>
            <w:shd w:val="clear" w:color="auto" w:fill="auto"/>
            <w:vAlign w:val="center"/>
          </w:tcPr>
          <w:p>
            <w:pPr>
              <w:widowControl/>
              <w:jc w:val="right"/>
              <w:rPr>
                <w:rFonts w:ascii="仿宋_GB2312" w:hAnsi="Times" w:eastAsia="仿宋_GB2312" w:cs="Times New Roman"/>
                <w:bCs/>
                <w:szCs w:val="21"/>
              </w:rPr>
            </w:pPr>
          </w:p>
        </w:tc>
        <w:tc>
          <w:tcPr>
            <w:tcW w:w="709" w:type="dxa"/>
            <w:vAlign w:val="center"/>
          </w:tcPr>
          <w:p>
            <w:pPr>
              <w:widowControl/>
              <w:jc w:val="right"/>
              <w:rPr>
                <w:rFonts w:ascii="仿宋_GB2312" w:hAnsi="Times" w:eastAsia="仿宋_GB2312" w:cs="Times New Roman"/>
                <w:bCs/>
                <w:szCs w:val="21"/>
              </w:rPr>
            </w:pPr>
          </w:p>
        </w:tc>
        <w:tc>
          <w:tcPr>
            <w:tcW w:w="567" w:type="dxa"/>
            <w:vAlign w:val="center"/>
          </w:tcPr>
          <w:p>
            <w:pPr>
              <w:widowControl/>
              <w:jc w:val="right"/>
              <w:rPr>
                <w:rFonts w:ascii="仿宋_GB2312" w:hAnsi="Times" w:eastAsia="仿宋_GB2312" w:cs="Times New Roman"/>
                <w:bCs/>
                <w:szCs w:val="21"/>
              </w:rPr>
            </w:pPr>
          </w:p>
        </w:tc>
        <w:tc>
          <w:tcPr>
            <w:tcW w:w="709" w:type="dxa"/>
            <w:vAlign w:val="center"/>
          </w:tcPr>
          <w:p>
            <w:pPr>
              <w:widowControl/>
              <w:jc w:val="right"/>
              <w:rPr>
                <w:rFonts w:ascii="仿宋_GB2312" w:hAnsi="Times" w:eastAsia="仿宋_GB2312" w:cs="Times New Roman"/>
                <w:bCs/>
                <w:szCs w:val="21"/>
              </w:rPr>
            </w:pPr>
          </w:p>
        </w:tc>
        <w:tc>
          <w:tcPr>
            <w:tcW w:w="1184" w:type="dxa"/>
            <w:vAlign w:val="center"/>
          </w:tcPr>
          <w:p>
            <w:pPr>
              <w:widowControl/>
              <w:jc w:val="right"/>
              <w:rPr>
                <w:rFonts w:ascii="仿宋_GB2312" w:hAnsi="Times"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shd w:val="clear" w:color="auto" w:fill="auto"/>
            <w:vAlign w:val="center"/>
          </w:tcPr>
          <w:p>
            <w:pPr>
              <w:widowControl/>
              <w:jc w:val="center"/>
              <w:rPr>
                <w:rFonts w:ascii="仿宋_GB2312" w:hAnsi="Times" w:eastAsia="仿宋_GB2312" w:cs="Times New Roman"/>
                <w:bCs/>
                <w:kern w:val="0"/>
                <w:szCs w:val="21"/>
              </w:rPr>
            </w:pPr>
            <w:r>
              <w:rPr>
                <w:rFonts w:hint="eastAsia" w:ascii="仿宋_GB2312" w:hAnsi="Times" w:eastAsia="仿宋_GB2312" w:cs="Times New Roman"/>
                <w:bCs/>
                <w:kern w:val="0"/>
                <w:szCs w:val="21"/>
              </w:rPr>
              <w:t>3</w:t>
            </w:r>
          </w:p>
        </w:tc>
        <w:tc>
          <w:tcPr>
            <w:tcW w:w="0" w:type="auto"/>
            <w:shd w:val="clear" w:color="auto" w:fill="auto"/>
            <w:vAlign w:val="center"/>
          </w:tcPr>
          <w:p>
            <w:pPr>
              <w:widowControl/>
              <w:rPr>
                <w:rFonts w:ascii="仿宋_GB2312" w:hAnsi="Times" w:eastAsia="仿宋_GB2312" w:cs="Times New Roman"/>
                <w:bCs/>
                <w:szCs w:val="21"/>
              </w:rPr>
            </w:pPr>
          </w:p>
        </w:tc>
        <w:tc>
          <w:tcPr>
            <w:tcW w:w="0" w:type="auto"/>
            <w:shd w:val="clear" w:color="auto" w:fill="auto"/>
            <w:vAlign w:val="center"/>
          </w:tcPr>
          <w:p>
            <w:pPr>
              <w:widowControl/>
              <w:rPr>
                <w:rFonts w:ascii="仿宋_GB2312" w:hAnsi="Times" w:eastAsia="仿宋_GB2312" w:cs="Times New Roman"/>
                <w:bCs/>
                <w:szCs w:val="21"/>
              </w:rPr>
            </w:pPr>
          </w:p>
        </w:tc>
        <w:tc>
          <w:tcPr>
            <w:tcW w:w="689" w:type="dxa"/>
          </w:tcPr>
          <w:p>
            <w:pPr>
              <w:widowControl/>
              <w:jc w:val="right"/>
              <w:rPr>
                <w:rFonts w:ascii="仿宋_GB2312" w:hAnsi="Times" w:eastAsia="仿宋_GB2312" w:cs="Times New Roman"/>
                <w:szCs w:val="21"/>
              </w:rPr>
            </w:pPr>
          </w:p>
        </w:tc>
        <w:tc>
          <w:tcPr>
            <w:tcW w:w="708" w:type="dxa"/>
            <w:shd w:val="clear" w:color="auto" w:fill="auto"/>
            <w:vAlign w:val="center"/>
          </w:tcPr>
          <w:p>
            <w:pPr>
              <w:widowControl/>
              <w:jc w:val="right"/>
              <w:rPr>
                <w:rFonts w:ascii="仿宋_GB2312" w:hAnsi="Times" w:eastAsia="仿宋_GB2312" w:cs="Times New Roman"/>
                <w:szCs w:val="21"/>
              </w:rPr>
            </w:pPr>
          </w:p>
        </w:tc>
        <w:tc>
          <w:tcPr>
            <w:tcW w:w="709" w:type="dxa"/>
            <w:shd w:val="clear" w:color="auto" w:fill="auto"/>
            <w:vAlign w:val="center"/>
          </w:tcPr>
          <w:p>
            <w:pPr>
              <w:widowControl/>
              <w:jc w:val="right"/>
              <w:rPr>
                <w:rFonts w:ascii="仿宋_GB2312" w:hAnsi="Times" w:eastAsia="仿宋_GB2312" w:cs="Times New Roman"/>
                <w:bCs/>
                <w:szCs w:val="21"/>
              </w:rPr>
            </w:pPr>
          </w:p>
        </w:tc>
        <w:tc>
          <w:tcPr>
            <w:tcW w:w="709" w:type="dxa"/>
            <w:vAlign w:val="center"/>
          </w:tcPr>
          <w:p>
            <w:pPr>
              <w:widowControl/>
              <w:jc w:val="right"/>
              <w:rPr>
                <w:rFonts w:ascii="仿宋_GB2312" w:hAnsi="Times" w:eastAsia="仿宋_GB2312" w:cs="Times New Roman"/>
                <w:bCs/>
                <w:szCs w:val="21"/>
              </w:rPr>
            </w:pPr>
          </w:p>
        </w:tc>
        <w:tc>
          <w:tcPr>
            <w:tcW w:w="567" w:type="dxa"/>
            <w:vAlign w:val="center"/>
          </w:tcPr>
          <w:p>
            <w:pPr>
              <w:widowControl/>
              <w:jc w:val="right"/>
              <w:rPr>
                <w:rFonts w:ascii="仿宋_GB2312" w:hAnsi="Times" w:eastAsia="仿宋_GB2312" w:cs="Times New Roman"/>
                <w:bCs/>
                <w:szCs w:val="21"/>
              </w:rPr>
            </w:pPr>
          </w:p>
        </w:tc>
        <w:tc>
          <w:tcPr>
            <w:tcW w:w="709" w:type="dxa"/>
            <w:vAlign w:val="center"/>
          </w:tcPr>
          <w:p>
            <w:pPr>
              <w:widowControl/>
              <w:jc w:val="right"/>
              <w:rPr>
                <w:rFonts w:ascii="仿宋_GB2312" w:hAnsi="Times" w:eastAsia="仿宋_GB2312" w:cs="Times New Roman"/>
                <w:bCs/>
                <w:szCs w:val="21"/>
              </w:rPr>
            </w:pPr>
          </w:p>
        </w:tc>
        <w:tc>
          <w:tcPr>
            <w:tcW w:w="1184" w:type="dxa"/>
            <w:vAlign w:val="center"/>
          </w:tcPr>
          <w:p>
            <w:pPr>
              <w:widowControl/>
              <w:jc w:val="right"/>
              <w:rPr>
                <w:rFonts w:ascii="仿宋_GB2312" w:hAnsi="Times" w:eastAsia="仿宋_GB2312" w:cs="Times New Roman"/>
                <w:bCs/>
                <w:szCs w:val="21"/>
              </w:rPr>
            </w:pPr>
          </w:p>
        </w:tc>
      </w:tr>
    </w:tbl>
    <w:p>
      <w:pPr>
        <w:spacing w:line="560" w:lineRule="exact"/>
        <w:ind w:firstLine="640" w:firstLineChars="200"/>
        <w:contextualSpacing/>
        <w:rPr>
          <w:rFonts w:ascii="仿宋_GB2312" w:hAnsi="仿宋" w:eastAsia="仿宋_GB2312" w:cs="Times New Roman"/>
          <w:bCs/>
          <w:sz w:val="32"/>
          <w:szCs w:val="32"/>
        </w:rPr>
      </w:pPr>
      <w:r>
        <w:rPr>
          <w:rFonts w:hint="eastAsia" w:ascii="仿宋_GB2312" w:hAnsi="仿宋" w:eastAsia="仿宋_GB2312" w:cs="Times New Roman"/>
          <w:bCs/>
          <w:sz w:val="32"/>
          <w:szCs w:val="32"/>
        </w:rPr>
        <w:t>□【上述重要参股公司、合营企业和联营企业相关财务数据存在重大增减变动】具体情况如下：</w:t>
      </w:r>
    </w:p>
    <w:p>
      <w:pPr>
        <w:spacing w:line="560" w:lineRule="exact"/>
        <w:ind w:firstLine="640" w:firstLineChars="200"/>
        <w:contextualSpacing/>
        <w:rPr>
          <w:rFonts w:ascii="仿宋_GB2312" w:hAnsi="仿宋" w:eastAsia="仿宋_GB2312" w:cs="Times New Roman"/>
          <w:bCs/>
          <w:sz w:val="32"/>
          <w:szCs w:val="32"/>
        </w:rPr>
      </w:pPr>
      <w:r>
        <w:rPr>
          <w:rFonts w:ascii="仿宋_GB2312" w:hAnsi="仿宋" w:eastAsia="仿宋_GB2312"/>
          <w:sz w:val="32"/>
          <w:szCs w:val="32"/>
        </w:rPr>
        <w:t>___________________________________________________</w:t>
      </w:r>
    </w:p>
    <w:p>
      <w:pPr>
        <w:pStyle w:val="27"/>
        <w:spacing w:line="560" w:lineRule="exact"/>
        <w:ind w:firstLine="643"/>
        <w:rPr>
          <w:sz w:val="32"/>
          <w:szCs w:val="32"/>
        </w:rPr>
      </w:pPr>
      <w:bookmarkStart w:id="20" w:name="_Toc77601101"/>
      <w:bookmarkStart w:id="21" w:name="_Toc58834403"/>
      <w:r>
        <w:rPr>
          <w:rFonts w:hint="eastAsia"/>
          <w:sz w:val="32"/>
          <w:szCs w:val="32"/>
        </w:rPr>
        <w:t>五、发行人的治理结构</w:t>
      </w:r>
      <w:r>
        <w:rPr>
          <w:sz w:val="32"/>
          <w:szCs w:val="32"/>
        </w:rPr>
        <w:t>等</w:t>
      </w:r>
      <w:r>
        <w:rPr>
          <w:rFonts w:hint="eastAsia"/>
          <w:sz w:val="32"/>
          <w:szCs w:val="32"/>
        </w:rPr>
        <w:t>情况</w:t>
      </w:r>
      <w:bookmarkEnd w:id="20"/>
      <w:bookmarkEnd w:id="21"/>
    </w:p>
    <w:p>
      <w:pPr>
        <w:spacing w:line="560" w:lineRule="exact"/>
        <w:ind w:firstLine="642" w:firstLineChars="200"/>
        <w:contextualSpacing/>
        <w:rPr>
          <w:rFonts w:ascii="仿宋_GB2312" w:hAnsi="仿宋" w:eastAsia="仿宋_GB2312" w:cs="Times New Roman"/>
          <w:b/>
          <w:bCs/>
          <w:color w:val="000000" w:themeColor="text1"/>
          <w:sz w:val="32"/>
          <w:szCs w:val="32"/>
        </w:rPr>
      </w:pPr>
      <w:bookmarkStart w:id="22" w:name="_Toc58248255"/>
      <w:bookmarkStart w:id="23" w:name="_Toc58249800"/>
      <w:bookmarkStart w:id="24" w:name="_Toc72414042"/>
      <w:bookmarkStart w:id="25" w:name="_Toc72414221"/>
      <w:r>
        <w:rPr>
          <w:rFonts w:hint="eastAsia" w:ascii="仿宋_GB2312" w:hAnsi="仿宋" w:eastAsia="仿宋_GB2312" w:cs="Times New Roman"/>
          <w:b/>
          <w:bCs/>
          <w:color w:val="000000" w:themeColor="text1"/>
          <w:sz w:val="32"/>
          <w:szCs w:val="32"/>
        </w:rPr>
        <w:t>（一）治理</w:t>
      </w:r>
      <w:r>
        <w:rPr>
          <w:rFonts w:ascii="仿宋_GB2312" w:hAnsi="仿宋" w:eastAsia="仿宋_GB2312" w:cs="Times New Roman"/>
          <w:b/>
          <w:bCs/>
          <w:color w:val="000000" w:themeColor="text1"/>
          <w:sz w:val="32"/>
          <w:szCs w:val="32"/>
        </w:rPr>
        <w:t>结构、</w:t>
      </w:r>
      <w:bookmarkEnd w:id="22"/>
      <w:bookmarkEnd w:id="23"/>
      <w:r>
        <w:rPr>
          <w:rFonts w:hint="eastAsia" w:ascii="仿宋_GB2312" w:hAnsi="仿宋" w:eastAsia="仿宋_GB2312" w:cs="Times New Roman"/>
          <w:b/>
          <w:bCs/>
          <w:color w:val="000000" w:themeColor="text1"/>
          <w:sz w:val="32"/>
          <w:szCs w:val="32"/>
        </w:rPr>
        <w:t>组织机构、内部管理制度设置</w:t>
      </w:r>
      <w:bookmarkEnd w:id="24"/>
      <w:bookmarkEnd w:id="25"/>
      <w:r>
        <w:rPr>
          <w:rFonts w:hint="eastAsia" w:ascii="仿宋_GB2312" w:hAnsi="仿宋" w:eastAsia="仿宋_GB2312" w:cs="Times New Roman"/>
          <w:b/>
          <w:bCs/>
          <w:color w:val="000000" w:themeColor="text1"/>
          <w:sz w:val="32"/>
          <w:szCs w:val="32"/>
        </w:rPr>
        <w:t>及运行情况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【填写说明：若发行人治理结构、组织机构常规</w:t>
      </w:r>
      <w:r>
        <w:rPr>
          <w:rFonts w:hint="eastAsia" w:ascii="仿宋_GB2312" w:hAnsi="仿宋" w:eastAsia="仿宋_GB2312"/>
          <w:color w:val="000000" w:themeColor="text1"/>
          <w:sz w:val="32"/>
          <w:szCs w:val="32"/>
        </w:rPr>
        <w:t>且运行正常，可以</w:t>
      </w:r>
      <w:r>
        <w:rPr>
          <w:rFonts w:hint="eastAsia" w:ascii="仿宋_GB2312" w:hAnsi="仿宋" w:eastAsia="仿宋_GB2312" w:cs="Times New Roman"/>
          <w:bCs/>
          <w:color w:val="000000" w:themeColor="text1"/>
          <w:sz w:val="32"/>
          <w:szCs w:val="32"/>
        </w:rPr>
        <w:t>概括性说明发行人重要组织机构设置及运行情况。】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发行人的组织结构图如下：</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2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4252" w:type="dxa"/>
          </w:tcPr>
          <w:p>
            <w:pPr>
              <w:spacing w:line="600" w:lineRule="exact"/>
              <w:contextualSpacing/>
              <w:rPr>
                <w:rFonts w:ascii="仿宋_GB2312" w:hAnsi="仿宋" w:eastAsia="仿宋_GB2312" w:cs="Times New Roman"/>
                <w:bCs/>
                <w:sz w:val="30"/>
                <w:szCs w:val="30"/>
              </w:rPr>
            </w:pPr>
          </w:p>
          <w:p>
            <w:pPr>
              <w:spacing w:line="600" w:lineRule="exact"/>
              <w:contextualSpacing/>
              <w:rPr>
                <w:rFonts w:ascii="仿宋_GB2312" w:hAnsi="仿宋" w:eastAsia="仿宋_GB2312" w:cs="Times New Roman"/>
                <w:bCs/>
                <w:sz w:val="30"/>
                <w:szCs w:val="30"/>
              </w:rPr>
            </w:pPr>
          </w:p>
          <w:p>
            <w:pPr>
              <w:spacing w:line="600" w:lineRule="exact"/>
              <w:contextualSpacing/>
              <w:rPr>
                <w:rFonts w:ascii="仿宋_GB2312" w:hAnsi="仿宋" w:eastAsia="仿宋_GB2312" w:cs="Times New Roman"/>
                <w:bCs/>
                <w:sz w:val="30"/>
                <w:szCs w:val="30"/>
              </w:rPr>
            </w:pPr>
          </w:p>
        </w:tc>
      </w:tr>
    </w:tbl>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i/>
          <w:color w:val="000000" w:themeColor="text1"/>
          <w:sz w:val="32"/>
          <w:szCs w:val="32"/>
        </w:rPr>
        <w:t>示例：</w:t>
      </w:r>
      <w:r>
        <w:rPr>
          <w:rFonts w:hint="eastAsia" w:ascii="仿宋_GB2312" w:hAnsi="仿宋" w:eastAsia="仿宋_GB2312" w:cs="Times New Roman"/>
          <w:bCs/>
          <w:color w:val="000000" w:themeColor="text1"/>
          <w:sz w:val="32"/>
          <w:szCs w:val="32"/>
        </w:rPr>
        <w:t>发行人已按照《公司法》等要求，制定了《</w:t>
      </w:r>
      <w:r>
        <w:rPr>
          <w:rFonts w:ascii="仿宋_GB2312" w:hAnsi="仿宋" w:eastAsia="仿宋_GB2312" w:cs="Times New Roman"/>
          <w:bCs/>
          <w:color w:val="000000" w:themeColor="text1"/>
          <w:sz w:val="32"/>
          <w:szCs w:val="32"/>
        </w:rPr>
        <w:t>XX公司公司章程》，建立和完善了规范的法人治理结构，设置了合理的组织机构，制定了包括财务管理、关联交易制度等共XX项内部管理制度，目前发行人治理结构、组织机构和内部管理制度运行正常。逐步形成科学的决策机制、执行机制和监督机制，能够有效维护公司和债权人的合法权益。</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若发行人存在</w:t>
      </w:r>
      <w:r>
        <w:rPr>
          <w:rFonts w:hint="eastAsia" w:ascii="仿宋_GB2312" w:hAnsi="仿宋" w:eastAsia="仿宋_GB2312"/>
          <w:color w:val="000000" w:themeColor="text1"/>
          <w:sz w:val="32"/>
          <w:szCs w:val="32"/>
        </w:rPr>
        <w:t>特殊或运行异常的应详细披露及说明</w:t>
      </w:r>
      <w:r>
        <w:rPr>
          <w:rFonts w:hint="eastAsia" w:ascii="仿宋_GB2312" w:hAnsi="仿宋" w:eastAsia="仿宋_GB2312" w:cs="Times New Roman"/>
          <w:bCs/>
          <w:color w:val="000000" w:themeColor="text1"/>
          <w:sz w:val="32"/>
          <w:szCs w:val="32"/>
        </w:rPr>
        <w:t>：</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ascii="仿宋_GB2312" w:hAnsi="仿宋" w:eastAsia="仿宋_GB2312" w:cs="Times New Roman"/>
          <w:bCs/>
          <w:color w:val="000000" w:themeColor="text1"/>
          <w:sz w:val="32"/>
          <w:szCs w:val="32"/>
        </w:rPr>
        <w:t>___________________________________________________</w:t>
      </w:r>
    </w:p>
    <w:p>
      <w:pPr>
        <w:spacing w:line="560" w:lineRule="exact"/>
        <w:ind w:firstLine="642" w:firstLineChars="200"/>
        <w:contextualSpacing/>
        <w:rPr>
          <w:rFonts w:ascii="仿宋_GB2312" w:hAnsi="仿宋" w:eastAsia="仿宋_GB2312" w:cs="Times New Roman"/>
          <w:bCs/>
          <w:color w:val="000000" w:themeColor="text1"/>
          <w:sz w:val="32"/>
          <w:szCs w:val="32"/>
        </w:rPr>
      </w:pPr>
      <w:bookmarkStart w:id="26" w:name="_Toc58248256"/>
      <w:bookmarkStart w:id="27" w:name="_Toc58249801"/>
      <w:bookmarkStart w:id="28" w:name="_Toc72414223"/>
      <w:bookmarkStart w:id="29" w:name="_Toc72414044"/>
      <w:r>
        <w:rPr>
          <w:rFonts w:hint="eastAsia" w:ascii="仿宋_GB2312" w:hAnsi="仿宋" w:eastAsia="仿宋_GB2312" w:cs="Times New Roman"/>
          <w:b/>
          <w:bCs/>
          <w:color w:val="000000" w:themeColor="text1"/>
          <w:sz w:val="32"/>
          <w:szCs w:val="32"/>
        </w:rPr>
        <w:t>（二）与控股股东及实际控制人之间的相互独立情况</w:t>
      </w:r>
      <w:bookmarkEnd w:id="26"/>
      <w:bookmarkEnd w:id="27"/>
      <w:r>
        <w:rPr>
          <w:rFonts w:hint="eastAsia" w:ascii="仿宋_GB2312" w:hAnsi="仿宋" w:eastAsia="仿宋_GB2312" w:cs="Times New Roman"/>
          <w:bCs/>
          <w:color w:val="000000" w:themeColor="text1"/>
          <w:sz w:val="32"/>
          <w:szCs w:val="32"/>
        </w:rPr>
        <w:t>（包括资产、人员、机构、财务、业务经营等方面）</w:t>
      </w:r>
      <w:bookmarkEnd w:id="28"/>
      <w:bookmarkEnd w:id="29"/>
    </w:p>
    <w:p>
      <w:pPr>
        <w:spacing w:line="560" w:lineRule="exact"/>
        <w:ind w:firstLine="640" w:firstLineChars="200"/>
        <w:contextualSpacing/>
        <w:rPr>
          <w:rFonts w:ascii="仿宋_GB2312" w:hAnsi="仿宋" w:eastAsia="仿宋_GB2312" w:cs="Times New Roman"/>
          <w:bCs/>
          <w:color w:val="000000" w:themeColor="text1"/>
          <w:sz w:val="32"/>
          <w:szCs w:val="32"/>
        </w:rPr>
      </w:pPr>
      <w:bookmarkStart w:id="30" w:name="_Toc72414224"/>
      <w:bookmarkStart w:id="31" w:name="_Toc72414045"/>
      <w:r>
        <w:rPr>
          <w:rFonts w:hint="eastAsia" w:ascii="仿宋_GB2312" w:hAnsi="仿宋" w:eastAsia="仿宋_GB2312" w:cs="Times New Roman"/>
          <w:bCs/>
          <w:color w:val="000000" w:themeColor="text1"/>
          <w:sz w:val="32"/>
          <w:szCs w:val="32"/>
        </w:rPr>
        <w:t>【填写说明：若发行人与控股股东、实际控制人之间在资产、人员、机构、财务、业务经营等方面相互独立，可以概括性披露前述情况。】</w:t>
      </w:r>
    </w:p>
    <w:p>
      <w:pPr>
        <w:spacing w:line="560" w:lineRule="exact"/>
        <w:ind w:firstLine="640" w:firstLineChars="200"/>
        <w:contextualSpacing/>
        <w:rPr>
          <w:rFonts w:ascii="仿宋_GB2312" w:hAnsi="仿宋" w:eastAsia="仿宋_GB2312" w:cs="Times New Roman"/>
          <w:bCs/>
          <w:sz w:val="32"/>
          <w:szCs w:val="32"/>
        </w:rPr>
      </w:pPr>
      <w:r>
        <w:rPr>
          <w:rFonts w:hint="eastAsia" w:ascii="仿宋_GB2312" w:hAnsi="仿宋" w:eastAsia="仿宋_GB2312" w:cs="Times New Roman"/>
          <w:bCs/>
          <w:sz w:val="32"/>
          <w:szCs w:val="32"/>
        </w:rPr>
        <w:t>示例：发行人严格按照《公司法》《证券法》等有关法律、法规和公司章程的要求规范运作，与控股股东及实际控制人在资产、人员、机构、财务、业务经营等方面均保持独立性，不存在影响公司自主经营能力的情况。</w:t>
      </w:r>
    </w:p>
    <w:bookmarkEnd w:id="30"/>
    <w:bookmarkEnd w:id="31"/>
    <w:p>
      <w:pPr>
        <w:spacing w:line="560" w:lineRule="exact"/>
        <w:ind w:firstLine="642" w:firstLineChars="200"/>
        <w:contextualSpacing/>
        <w:rPr>
          <w:rFonts w:ascii="仿宋_GB2312" w:hAnsi="仿宋" w:eastAsia="仿宋_GB2312" w:cs="Times New Roman"/>
          <w:b/>
          <w:bCs/>
          <w:sz w:val="32"/>
          <w:szCs w:val="32"/>
        </w:rPr>
      </w:pPr>
      <w:r>
        <w:rPr>
          <w:rFonts w:hint="eastAsia" w:ascii="仿宋_GB2312" w:hAnsi="仿宋" w:eastAsia="仿宋_GB2312" w:cs="Times New Roman"/>
          <w:b/>
          <w:bCs/>
          <w:color w:val="000000" w:themeColor="text1"/>
          <w:sz w:val="32"/>
          <w:szCs w:val="32"/>
        </w:rPr>
        <w:t>（三）</w:t>
      </w:r>
      <w:r>
        <w:rPr>
          <w:rFonts w:hint="eastAsia" w:ascii="仿宋_GB2312" w:hAnsi="仿宋" w:eastAsia="仿宋_GB2312" w:cs="Times New Roman"/>
          <w:b/>
          <w:bCs/>
          <w:sz w:val="32"/>
          <w:szCs w:val="32"/>
        </w:rPr>
        <w:t>信息披露事务相关安排</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sz w:val="32"/>
          <w:szCs w:val="32"/>
        </w:rPr>
        <w:t>具体</w:t>
      </w:r>
      <w:r>
        <w:rPr>
          <w:rFonts w:ascii="仿宋_GB2312" w:hAnsi="仿宋" w:eastAsia="仿宋_GB2312" w:cs="Times New Roman"/>
          <w:bCs/>
          <w:sz w:val="32"/>
          <w:szCs w:val="32"/>
        </w:rPr>
        <w:t>安排详见本募集说明书</w:t>
      </w:r>
      <w:r>
        <w:rPr>
          <w:rFonts w:hint="eastAsia" w:ascii="仿宋_GB2312" w:hAnsi="仿宋" w:eastAsia="仿宋_GB2312" w:cs="Times New Roman"/>
          <w:bCs/>
          <w:sz w:val="32"/>
          <w:szCs w:val="32"/>
        </w:rPr>
        <w:t>“</w:t>
      </w:r>
      <w:r>
        <w:rPr>
          <w:rFonts w:ascii="仿宋_GB2312" w:hAnsi="仿宋" w:eastAsia="仿宋_GB2312" w:cs="Times New Roman"/>
          <w:bCs/>
          <w:sz w:val="32"/>
          <w:szCs w:val="32"/>
        </w:rPr>
        <w:t>第</w:t>
      </w:r>
      <w:r>
        <w:rPr>
          <w:rFonts w:hint="eastAsia" w:ascii="仿宋_GB2312" w:hAnsi="仿宋" w:eastAsia="仿宋_GB2312" w:cs="Times New Roman"/>
          <w:bCs/>
          <w:sz w:val="32"/>
          <w:szCs w:val="32"/>
        </w:rPr>
        <w:t>九</w:t>
      </w:r>
      <w:r>
        <w:rPr>
          <w:rFonts w:ascii="仿宋_GB2312" w:hAnsi="仿宋" w:eastAsia="仿宋_GB2312" w:cs="Times New Roman"/>
          <w:bCs/>
          <w:sz w:val="32"/>
          <w:szCs w:val="32"/>
        </w:rPr>
        <w:t>节 信息披露安排”。</w:t>
      </w:r>
    </w:p>
    <w:p>
      <w:pPr>
        <w:pStyle w:val="27"/>
        <w:spacing w:line="560" w:lineRule="exact"/>
        <w:ind w:firstLine="643"/>
        <w:rPr>
          <w:sz w:val="32"/>
          <w:szCs w:val="32"/>
        </w:rPr>
      </w:pPr>
      <w:bookmarkStart w:id="32" w:name="_Toc77601102"/>
      <w:bookmarkStart w:id="33" w:name="_Toc58834404"/>
      <w:r>
        <w:rPr>
          <w:rFonts w:hint="eastAsia"/>
          <w:sz w:val="32"/>
          <w:szCs w:val="32"/>
        </w:rPr>
        <w:t>六、发行人的董监高情况</w:t>
      </w:r>
      <w:bookmarkEnd w:id="32"/>
      <w:bookmarkEnd w:id="33"/>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【填写说明：发行人原则上无需披露现任董事、监事、高级管理人员的简历。】</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截至报告期末，发行人董监高情况如下：</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1053"/>
        <w:gridCol w:w="1062"/>
        <w:gridCol w:w="1275"/>
        <w:gridCol w:w="1437"/>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33"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姓名</w:t>
            </w:r>
          </w:p>
        </w:tc>
        <w:tc>
          <w:tcPr>
            <w:tcW w:w="618"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现任</w:t>
            </w:r>
          </w:p>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职务</w:t>
            </w:r>
          </w:p>
        </w:tc>
        <w:tc>
          <w:tcPr>
            <w:tcW w:w="623"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任期</w:t>
            </w:r>
          </w:p>
          <w:p>
            <w:pPr>
              <w:adjustRightInd w:val="0"/>
              <w:snapToGrid w:val="0"/>
              <w:jc w:val="center"/>
              <w:rPr>
                <w:rFonts w:ascii="仿宋_GB2312" w:hAnsi="Times" w:eastAsia="仿宋_GB2312" w:cs="Times New Roman"/>
                <w:b/>
                <w:bCs/>
                <w:szCs w:val="21"/>
              </w:rPr>
            </w:pPr>
            <w:r>
              <w:rPr>
                <w:rFonts w:ascii="仿宋_GB2312" w:hAnsi="Times" w:eastAsia="仿宋_GB2312" w:cs="Times New Roman"/>
                <w:b/>
                <w:bCs/>
                <w:szCs w:val="21"/>
              </w:rPr>
              <w:t>(</w:t>
            </w:r>
            <w:r>
              <w:rPr>
                <w:rFonts w:hint="eastAsia" w:ascii="仿宋_GB2312" w:hAnsi="Times" w:eastAsia="仿宋_GB2312" w:cs="Times New Roman"/>
                <w:b/>
                <w:bCs/>
                <w:szCs w:val="21"/>
              </w:rPr>
              <w:t>如有)</w:t>
            </w:r>
          </w:p>
        </w:tc>
        <w:tc>
          <w:tcPr>
            <w:tcW w:w="748"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设置是否符合</w:t>
            </w:r>
            <w:r>
              <w:rPr>
                <w:rFonts w:ascii="仿宋_GB2312" w:hAnsi="Times" w:eastAsia="仿宋_GB2312" w:cs="Times New Roman"/>
                <w:b/>
                <w:szCs w:val="21"/>
              </w:rPr>
              <w:t>《公司法》等相关法律法规及公司章程</w:t>
            </w:r>
            <w:r>
              <w:rPr>
                <w:rFonts w:hint="eastAsia" w:ascii="仿宋_GB2312" w:hAnsi="Times" w:eastAsia="仿宋_GB2312" w:cs="Times New Roman"/>
                <w:b/>
                <w:szCs w:val="21"/>
              </w:rPr>
              <w:t>相关要求</w:t>
            </w:r>
          </w:p>
        </w:tc>
        <w:tc>
          <w:tcPr>
            <w:tcW w:w="843"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是否存在重大违纪违法情况</w:t>
            </w:r>
            <w:r>
              <w:rPr>
                <w:rStyle w:val="15"/>
                <w:rFonts w:ascii="仿宋_GB2312" w:hAnsi="Times" w:eastAsia="仿宋_GB2312" w:cs="Times New Roman"/>
                <w:szCs w:val="21"/>
              </w:rPr>
              <w:footnoteReference w:id="3"/>
            </w:r>
          </w:p>
        </w:tc>
        <w:tc>
          <w:tcPr>
            <w:tcW w:w="1235"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其他（如需）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 w:type="pct"/>
            <w:vAlign w:val="center"/>
          </w:tcPr>
          <w:p>
            <w:pPr>
              <w:adjustRightInd w:val="0"/>
              <w:snapToGrid w:val="0"/>
              <w:jc w:val="center"/>
              <w:rPr>
                <w:rFonts w:ascii="仿宋_GB2312" w:hAnsi="Times" w:eastAsia="仿宋_GB2312" w:cs="Times New Roman"/>
                <w:bCs/>
                <w:szCs w:val="21"/>
              </w:rPr>
            </w:pPr>
          </w:p>
        </w:tc>
        <w:tc>
          <w:tcPr>
            <w:tcW w:w="618" w:type="pct"/>
            <w:vAlign w:val="center"/>
          </w:tcPr>
          <w:p>
            <w:pPr>
              <w:adjustRightInd w:val="0"/>
              <w:snapToGrid w:val="0"/>
              <w:jc w:val="center"/>
              <w:rPr>
                <w:rFonts w:ascii="仿宋_GB2312" w:hAnsi="Times" w:eastAsia="仿宋_GB2312" w:cs="Times New Roman"/>
                <w:bCs/>
                <w:szCs w:val="21"/>
              </w:rPr>
            </w:pPr>
          </w:p>
        </w:tc>
        <w:tc>
          <w:tcPr>
            <w:tcW w:w="623" w:type="pct"/>
            <w:vAlign w:val="center"/>
          </w:tcPr>
          <w:p>
            <w:pPr>
              <w:adjustRightInd w:val="0"/>
              <w:snapToGrid w:val="0"/>
              <w:jc w:val="center"/>
              <w:rPr>
                <w:rFonts w:ascii="仿宋_GB2312" w:hAnsi="Times" w:eastAsia="仿宋_GB2312" w:cs="Times New Roman"/>
                <w:bCs/>
                <w:szCs w:val="21"/>
              </w:rPr>
            </w:pPr>
          </w:p>
        </w:tc>
        <w:tc>
          <w:tcPr>
            <w:tcW w:w="748"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是/否</w:t>
            </w:r>
          </w:p>
        </w:tc>
        <w:tc>
          <w:tcPr>
            <w:tcW w:w="843"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是/否</w:t>
            </w:r>
          </w:p>
        </w:tc>
        <w:tc>
          <w:tcPr>
            <w:tcW w:w="1235"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（简述概况）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 w:type="pct"/>
            <w:vAlign w:val="center"/>
          </w:tcPr>
          <w:p>
            <w:pPr>
              <w:adjustRightInd w:val="0"/>
              <w:snapToGrid w:val="0"/>
              <w:jc w:val="center"/>
              <w:rPr>
                <w:rFonts w:ascii="仿宋_GB2312" w:hAnsi="Times" w:eastAsia="仿宋_GB2312" w:cs="Times New Roman"/>
                <w:bCs/>
                <w:szCs w:val="21"/>
              </w:rPr>
            </w:pPr>
          </w:p>
        </w:tc>
        <w:tc>
          <w:tcPr>
            <w:tcW w:w="618" w:type="pct"/>
            <w:vAlign w:val="center"/>
          </w:tcPr>
          <w:p>
            <w:pPr>
              <w:adjustRightInd w:val="0"/>
              <w:snapToGrid w:val="0"/>
              <w:jc w:val="center"/>
              <w:rPr>
                <w:rFonts w:ascii="仿宋_GB2312" w:hAnsi="Times" w:eastAsia="仿宋_GB2312" w:cs="Times New Roman"/>
                <w:bCs/>
                <w:szCs w:val="21"/>
              </w:rPr>
            </w:pPr>
          </w:p>
        </w:tc>
        <w:tc>
          <w:tcPr>
            <w:tcW w:w="623" w:type="pct"/>
            <w:vAlign w:val="center"/>
          </w:tcPr>
          <w:p>
            <w:pPr>
              <w:adjustRightInd w:val="0"/>
              <w:snapToGrid w:val="0"/>
              <w:jc w:val="center"/>
              <w:rPr>
                <w:rFonts w:ascii="仿宋_GB2312" w:hAnsi="Times" w:eastAsia="仿宋_GB2312" w:cs="Times New Roman"/>
                <w:bCs/>
                <w:szCs w:val="21"/>
              </w:rPr>
            </w:pPr>
          </w:p>
        </w:tc>
        <w:tc>
          <w:tcPr>
            <w:tcW w:w="748" w:type="pct"/>
            <w:vAlign w:val="center"/>
          </w:tcPr>
          <w:p>
            <w:pPr>
              <w:adjustRightInd w:val="0"/>
              <w:snapToGrid w:val="0"/>
              <w:jc w:val="center"/>
              <w:rPr>
                <w:rFonts w:ascii="仿宋_GB2312" w:hAnsi="Times" w:eastAsia="仿宋_GB2312" w:cs="Times New Roman"/>
                <w:szCs w:val="21"/>
              </w:rPr>
            </w:pPr>
          </w:p>
        </w:tc>
        <w:tc>
          <w:tcPr>
            <w:tcW w:w="843" w:type="pct"/>
            <w:vAlign w:val="center"/>
          </w:tcPr>
          <w:p>
            <w:pPr>
              <w:adjustRightInd w:val="0"/>
              <w:snapToGrid w:val="0"/>
              <w:jc w:val="center"/>
              <w:rPr>
                <w:rFonts w:ascii="仿宋_GB2312" w:hAnsi="Times" w:eastAsia="仿宋_GB2312" w:cs="Times New Roman"/>
                <w:szCs w:val="21"/>
              </w:rPr>
            </w:pPr>
          </w:p>
        </w:tc>
        <w:tc>
          <w:tcPr>
            <w:tcW w:w="1235" w:type="pct"/>
            <w:vAlign w:val="center"/>
          </w:tcPr>
          <w:p>
            <w:pPr>
              <w:adjustRightInd w:val="0"/>
              <w:snapToGrid w:val="0"/>
              <w:jc w:val="center"/>
              <w:rPr>
                <w:rFonts w:ascii="仿宋_GB2312" w:hAnsi="Times" w:eastAsia="仿宋_GB2312" w:cs="Times New Roman"/>
                <w:szCs w:val="21"/>
              </w:rPr>
            </w:pPr>
          </w:p>
        </w:tc>
      </w:tr>
    </w:tbl>
    <w:p>
      <w:pPr>
        <w:spacing w:line="560" w:lineRule="exact"/>
        <w:ind w:firstLine="640" w:firstLineChars="200"/>
        <w:contextualSpacing/>
        <w:rPr>
          <w:rFonts w:ascii="仿宋_GB2312" w:hAnsi="仿宋" w:eastAsia="仿宋_GB2312" w:cs="Times New Roman"/>
          <w:bCs/>
          <w:color w:val="000000" w:themeColor="text1"/>
          <w:sz w:val="32"/>
          <w:szCs w:val="32"/>
        </w:rPr>
      </w:pPr>
      <w:bookmarkStart w:id="34" w:name="_Toc58834405"/>
      <w:r>
        <w:rPr>
          <w:rFonts w:hint="eastAsia" w:ascii="仿宋_GB2312" w:hAnsi="仿宋" w:eastAsia="仿宋_GB2312" w:cs="Times New Roman"/>
          <w:bCs/>
          <w:color w:val="000000" w:themeColor="text1"/>
          <w:sz w:val="32"/>
          <w:szCs w:val="32"/>
        </w:rPr>
        <w:t>□【相关人员设置存在不符合上述相关要求或存在重大违纪违法情形的】具体情况、原因及对发行人经营情况和偿债能力的影响如下：</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ascii="仿宋_GB2312" w:hAnsi="仿宋" w:eastAsia="仿宋_GB2312" w:cs="Times New Roman"/>
          <w:bCs/>
          <w:color w:val="000000" w:themeColor="text1"/>
          <w:sz w:val="32"/>
          <w:szCs w:val="32"/>
        </w:rPr>
        <w:t>___________________________________________________</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□【报告期内发行人董监高变动频繁或变动人数比例较大的】报告期内发行人董监高变动情况如下（包括董监高变动较大的原因及其对发行人组织机构运行的影响）：</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ascii="仿宋_GB2312" w:hAnsi="仿宋" w:eastAsia="仿宋_GB2312" w:cs="Times New Roman"/>
          <w:bCs/>
          <w:color w:val="000000" w:themeColor="text1"/>
          <w:sz w:val="32"/>
          <w:szCs w:val="32"/>
        </w:rPr>
        <w:t>___________________________________________________</w:t>
      </w:r>
    </w:p>
    <w:bookmarkEnd w:id="34"/>
    <w:p>
      <w:pPr>
        <w:widowControl/>
        <w:jc w:val="left"/>
        <w:rPr>
          <w:rFonts w:ascii="仿宋_GB2312" w:hAnsi="Times New Roman" w:eastAsia="仿宋_GB2312"/>
          <w:b/>
          <w:bCs/>
          <w:color w:val="000000"/>
          <w:kern w:val="0"/>
          <w:sz w:val="32"/>
          <w:szCs w:val="30"/>
          <w:lang w:bidi="en-US"/>
        </w:rPr>
      </w:pPr>
      <w:r>
        <w:rPr>
          <w:rFonts w:ascii="仿宋_GB2312" w:hAnsi="Times New Roman" w:eastAsia="仿宋_GB2312"/>
          <w:b/>
          <w:bCs/>
          <w:color w:val="000000"/>
          <w:kern w:val="0"/>
          <w:sz w:val="32"/>
          <w:szCs w:val="30"/>
          <w:lang w:bidi="en-US"/>
        </w:rPr>
        <w:br w:type="page"/>
      </w:r>
    </w:p>
    <w:p>
      <w:pPr>
        <w:adjustRightInd w:val="0"/>
        <w:snapToGrid w:val="0"/>
        <w:spacing w:line="560" w:lineRule="exact"/>
        <w:jc w:val="left"/>
        <w:outlineLvl w:val="0"/>
        <w:rPr>
          <w:rFonts w:ascii="黑体" w:hAnsi="黑体" w:eastAsia="黑体"/>
          <w:bCs/>
          <w:color w:val="000000"/>
          <w:kern w:val="0"/>
          <w:sz w:val="32"/>
          <w:szCs w:val="30"/>
          <w:lang w:bidi="en-US"/>
        </w:rPr>
      </w:pPr>
      <w:r>
        <w:rPr>
          <w:rFonts w:hint="eastAsia" w:ascii="黑体" w:hAnsi="黑体" w:eastAsia="黑体"/>
          <w:bCs/>
          <w:color w:val="000000"/>
          <w:kern w:val="0"/>
          <w:sz w:val="32"/>
          <w:szCs w:val="30"/>
          <w:lang w:bidi="en-US"/>
        </w:rPr>
        <w:t>附件5</w:t>
      </w:r>
      <w:r>
        <w:rPr>
          <w:rFonts w:ascii="黑体" w:hAnsi="黑体" w:eastAsia="黑体"/>
          <w:bCs/>
          <w:color w:val="000000"/>
          <w:kern w:val="0"/>
          <w:sz w:val="32"/>
          <w:szCs w:val="30"/>
          <w:lang w:bidi="en-US"/>
        </w:rPr>
        <w:t xml:space="preserve"> </w:t>
      </w:r>
    </w:p>
    <w:p>
      <w:pPr>
        <w:adjustRightInd w:val="0"/>
        <w:snapToGrid w:val="0"/>
        <w:spacing w:line="560" w:lineRule="exact"/>
        <w:jc w:val="left"/>
        <w:outlineLvl w:val="0"/>
        <w:rPr>
          <w:rFonts w:ascii="黑体" w:hAnsi="黑体" w:eastAsia="黑体"/>
          <w:bCs/>
          <w:color w:val="000000"/>
          <w:kern w:val="0"/>
          <w:sz w:val="32"/>
          <w:szCs w:val="30"/>
          <w:lang w:bidi="en-US"/>
        </w:rPr>
      </w:pPr>
    </w:p>
    <w:p>
      <w:pPr>
        <w:adjustRightInd w:val="0"/>
        <w:snapToGrid w:val="0"/>
        <w:spacing w:line="560" w:lineRule="exact"/>
        <w:jc w:val="center"/>
        <w:outlineLvl w:val="0"/>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半年度主要财务数据变动情况分析</w:t>
      </w:r>
    </w:p>
    <w:p>
      <w:pPr>
        <w:adjustRightInd w:val="0"/>
        <w:snapToGrid w:val="0"/>
        <w:spacing w:line="560" w:lineRule="exact"/>
        <w:jc w:val="center"/>
        <w:outlineLvl w:val="0"/>
        <w:rPr>
          <w:rFonts w:ascii="黑体" w:hAnsi="黑体" w:eastAsia="黑体"/>
          <w:b/>
          <w:sz w:val="44"/>
          <w:szCs w:val="44"/>
        </w:rPr>
      </w:pPr>
      <w:r>
        <w:rPr>
          <w:rFonts w:hint="eastAsia" w:ascii="方正大标宋简体" w:hAnsi="方正大标宋简体" w:eastAsia="方正大标宋简体"/>
          <w:sz w:val="44"/>
          <w:szCs w:val="44"/>
        </w:rPr>
        <w:t>参考文本</w:t>
      </w:r>
      <w:r>
        <w:rPr>
          <w:rFonts w:ascii="方正大标宋简体" w:hAnsi="方正大标宋简体" w:eastAsia="方正大标宋简体"/>
          <w:sz w:val="44"/>
          <w:szCs w:val="44"/>
        </w:rPr>
        <w:cr/>
      </w:r>
    </w:p>
    <w:p>
      <w:pPr>
        <w:widowControl/>
        <w:spacing w:line="560" w:lineRule="exact"/>
        <w:jc w:val="center"/>
        <w:rPr>
          <w:rFonts w:ascii="黑体" w:hAnsi="黑体" w:eastAsia="黑体"/>
          <w:b/>
          <w:sz w:val="36"/>
          <w:szCs w:val="36"/>
        </w:rPr>
      </w:pPr>
      <w:r>
        <w:rPr>
          <w:rFonts w:hint="eastAsia" w:ascii="黑体" w:hAnsi="黑体" w:eastAsia="黑体"/>
          <w:b/>
          <w:sz w:val="36"/>
          <w:szCs w:val="36"/>
        </w:rPr>
        <w:t>第五节</w:t>
      </w:r>
      <w:r>
        <w:rPr>
          <w:rFonts w:ascii="黑体" w:hAnsi="黑体" w:eastAsia="黑体"/>
          <w:b/>
          <w:sz w:val="36"/>
          <w:szCs w:val="36"/>
        </w:rPr>
        <w:t xml:space="preserve"> </w:t>
      </w:r>
      <w:r>
        <w:rPr>
          <w:rFonts w:hint="eastAsia" w:ascii="黑体" w:hAnsi="黑体" w:eastAsia="黑体"/>
          <w:b/>
          <w:sz w:val="36"/>
          <w:szCs w:val="36"/>
        </w:rPr>
        <w:t>发行人主要财务情况</w:t>
      </w:r>
    </w:p>
    <w:p>
      <w:pPr>
        <w:widowControl/>
        <w:spacing w:line="560" w:lineRule="exact"/>
        <w:jc w:val="center"/>
        <w:rPr>
          <w:rFonts w:ascii="黑体" w:hAnsi="黑体" w:eastAsia="黑体"/>
          <w:b/>
          <w:sz w:val="44"/>
          <w:szCs w:val="44"/>
        </w:rPr>
      </w:pP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X、发行人20XX年半年度主要财务情况</w:t>
      </w:r>
    </w:p>
    <w:p>
      <w:pPr>
        <w:widowControl/>
        <w:adjustRightInd w:val="0"/>
        <w:snapToGrid w:val="0"/>
        <w:spacing w:line="560" w:lineRule="exact"/>
        <w:ind w:firstLine="640" w:firstLineChars="200"/>
        <w:rPr>
          <w:rFonts w:ascii="仿宋_GB2312" w:hAnsi="Times New Roman" w:eastAsia="仿宋_GB2312"/>
          <w:color w:val="000000"/>
          <w:kern w:val="0"/>
          <w:sz w:val="32"/>
          <w:szCs w:val="32"/>
          <w:lang w:bidi="en-US"/>
        </w:rPr>
      </w:pPr>
      <w:r>
        <w:rPr>
          <w:rFonts w:hint="eastAsia" w:ascii="仿宋_GB2312" w:hAnsi="Times New Roman" w:eastAsia="仿宋_GB2312"/>
          <w:color w:val="000000"/>
          <w:kern w:val="0"/>
          <w:sz w:val="32"/>
          <w:szCs w:val="32"/>
          <w:lang w:bidi="en-US"/>
        </w:rPr>
        <w:t>发行人最近一期主要财务数据及变化分析情况如下：</w:t>
      </w:r>
    </w:p>
    <w:p>
      <w:pPr>
        <w:widowControl/>
        <w:adjustRightInd w:val="0"/>
        <w:snapToGrid w:val="0"/>
        <w:jc w:val="right"/>
        <w:rPr>
          <w:rFonts w:ascii="仿宋_GB2312" w:hAnsi="Times New Roman" w:eastAsia="仿宋_GB2312"/>
          <w:color w:val="000000"/>
          <w:kern w:val="0"/>
          <w:szCs w:val="21"/>
          <w:lang w:bidi="en-US"/>
        </w:rPr>
      </w:pPr>
      <w:r>
        <w:rPr>
          <w:rFonts w:hint="eastAsia" w:ascii="仿宋_GB2312" w:hAnsi="Times New Roman" w:eastAsia="仿宋_GB2312"/>
          <w:color w:val="000000"/>
          <w:kern w:val="0"/>
          <w:szCs w:val="21"/>
          <w:lang w:bidi="en-US"/>
        </w:rPr>
        <w:t>单位：万元、%</w:t>
      </w:r>
    </w:p>
    <w:tbl>
      <w:tblPr>
        <w:tblStyle w:val="10"/>
        <w:tblW w:w="86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7"/>
        <w:gridCol w:w="1559"/>
        <w:gridCol w:w="969"/>
        <w:gridCol w:w="4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vAlign w:val="center"/>
          </w:tcPr>
          <w:p>
            <w:pPr>
              <w:jc w:val="center"/>
              <w:rPr>
                <w:rFonts w:ascii="仿宋_GB2312" w:hAnsi="楷体" w:eastAsia="仿宋_GB2312"/>
                <w:b/>
                <w:bCs/>
                <w:color w:val="000000"/>
                <w:szCs w:val="21"/>
              </w:rPr>
            </w:pPr>
            <w:r>
              <w:rPr>
                <w:rFonts w:hint="eastAsia" w:ascii="仿宋_GB2312" w:hAnsi="楷体" w:eastAsia="仿宋_GB2312"/>
                <w:b/>
                <w:bCs/>
                <w:color w:val="000000"/>
                <w:szCs w:val="21"/>
              </w:rPr>
              <w:t>主要资产、负债科目</w:t>
            </w:r>
          </w:p>
        </w:tc>
        <w:tc>
          <w:tcPr>
            <w:tcW w:w="1559" w:type="dxa"/>
            <w:shd w:val="clear" w:color="auto" w:fill="auto"/>
            <w:vAlign w:val="center"/>
          </w:tcPr>
          <w:p>
            <w:pPr>
              <w:jc w:val="center"/>
              <w:rPr>
                <w:rFonts w:ascii="仿宋_GB2312" w:hAnsi="Times New Roman" w:eastAsia="仿宋_GB2312" w:cs="Times New Roman"/>
                <w:b/>
                <w:bCs/>
                <w:color w:val="000000"/>
                <w:szCs w:val="21"/>
              </w:rPr>
            </w:pPr>
            <w:r>
              <w:rPr>
                <w:rFonts w:hint="eastAsia" w:ascii="仿宋_GB2312" w:hAnsi="Times New Roman" w:eastAsia="仿宋_GB2312" w:cs="Times New Roman"/>
                <w:b/>
                <w:bCs/>
                <w:color w:val="000000"/>
                <w:szCs w:val="21"/>
              </w:rPr>
              <w:t>20XX</w:t>
            </w:r>
            <w:r>
              <w:rPr>
                <w:rFonts w:hint="eastAsia" w:ascii="仿宋_GB2312" w:hAnsi="楷体" w:eastAsia="仿宋_GB2312" w:cs="Times New Roman"/>
                <w:b/>
                <w:bCs/>
                <w:color w:val="000000"/>
                <w:szCs w:val="21"/>
              </w:rPr>
              <w:t>年</w:t>
            </w:r>
            <w:r>
              <w:rPr>
                <w:rFonts w:hint="eastAsia" w:ascii="仿宋_GB2312" w:hAnsi="Times New Roman" w:eastAsia="仿宋_GB2312" w:cs="Times New Roman"/>
                <w:b/>
                <w:bCs/>
                <w:color w:val="000000"/>
                <w:szCs w:val="21"/>
              </w:rPr>
              <w:t>6</w:t>
            </w:r>
            <w:r>
              <w:rPr>
                <w:rFonts w:hint="eastAsia" w:ascii="仿宋_GB2312" w:hAnsi="楷体" w:eastAsia="仿宋_GB2312" w:cs="Times New Roman"/>
                <w:b/>
                <w:bCs/>
                <w:color w:val="000000"/>
                <w:szCs w:val="21"/>
              </w:rPr>
              <w:t>月末</w:t>
            </w:r>
          </w:p>
        </w:tc>
        <w:tc>
          <w:tcPr>
            <w:tcW w:w="969" w:type="dxa"/>
            <w:shd w:val="clear" w:color="auto" w:fill="auto"/>
            <w:vAlign w:val="center"/>
          </w:tcPr>
          <w:p>
            <w:pPr>
              <w:jc w:val="center"/>
              <w:rPr>
                <w:rFonts w:ascii="仿宋_GB2312" w:hAnsi="楷体" w:eastAsia="仿宋_GB2312"/>
                <w:b/>
                <w:bCs/>
                <w:color w:val="000000"/>
                <w:szCs w:val="21"/>
              </w:rPr>
            </w:pPr>
            <w:r>
              <w:rPr>
                <w:rFonts w:hint="eastAsia" w:ascii="仿宋_GB2312" w:hAnsi="楷体" w:eastAsia="仿宋_GB2312"/>
                <w:b/>
                <w:bCs/>
                <w:color w:val="000000"/>
                <w:szCs w:val="21"/>
              </w:rPr>
              <w:t>同比</w:t>
            </w:r>
          </w:p>
        </w:tc>
        <w:tc>
          <w:tcPr>
            <w:tcW w:w="4418" w:type="dxa"/>
            <w:shd w:val="clear" w:color="auto" w:fill="auto"/>
            <w:vAlign w:val="center"/>
          </w:tcPr>
          <w:p>
            <w:pPr>
              <w:jc w:val="center"/>
              <w:rPr>
                <w:rFonts w:ascii="仿宋_GB2312" w:hAnsi="楷体" w:eastAsia="仿宋_GB2312"/>
                <w:b/>
                <w:bCs/>
                <w:color w:val="000000"/>
                <w:szCs w:val="21"/>
              </w:rPr>
            </w:pPr>
            <w:r>
              <w:rPr>
                <w:rFonts w:hint="eastAsia" w:ascii="仿宋_GB2312" w:hAnsi="楷体" w:eastAsia="仿宋_GB2312"/>
                <w:b/>
                <w:bCs/>
                <w:color w:val="000000"/>
                <w:szCs w:val="21"/>
              </w:rPr>
              <w:t>变动原因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货币资金</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在建工程</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存货</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应付债券</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长期应付款</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vAlign w:val="center"/>
          </w:tcPr>
          <w:p>
            <w:pPr>
              <w:jc w:val="center"/>
              <w:rPr>
                <w:rFonts w:ascii="仿宋_GB2312" w:hAnsi="楷体" w:eastAsia="仿宋_GB2312"/>
                <w:b/>
                <w:bCs/>
                <w:color w:val="000000"/>
                <w:szCs w:val="21"/>
              </w:rPr>
            </w:pPr>
            <w:r>
              <w:rPr>
                <w:rFonts w:hint="eastAsia" w:ascii="仿宋_GB2312" w:hAnsi="楷体" w:eastAsia="仿宋_GB2312"/>
                <w:b/>
                <w:bCs/>
                <w:color w:val="000000"/>
                <w:szCs w:val="21"/>
              </w:rPr>
              <w:t>主要利润、现金流</w:t>
            </w:r>
          </w:p>
        </w:tc>
        <w:tc>
          <w:tcPr>
            <w:tcW w:w="1559" w:type="dxa"/>
            <w:shd w:val="clear" w:color="auto" w:fill="auto"/>
            <w:vAlign w:val="center"/>
          </w:tcPr>
          <w:p>
            <w:pPr>
              <w:jc w:val="center"/>
              <w:rPr>
                <w:rFonts w:ascii="仿宋_GB2312" w:hAnsi="Times New Roman" w:eastAsia="仿宋_GB2312" w:cs="Times New Roman"/>
                <w:b/>
                <w:bCs/>
                <w:color w:val="000000"/>
                <w:szCs w:val="21"/>
              </w:rPr>
            </w:pPr>
            <w:r>
              <w:rPr>
                <w:rFonts w:hint="eastAsia" w:ascii="仿宋_GB2312" w:hAnsi="Times New Roman" w:eastAsia="仿宋_GB2312" w:cs="Times New Roman"/>
                <w:b/>
                <w:bCs/>
                <w:color w:val="000000"/>
                <w:szCs w:val="21"/>
              </w:rPr>
              <w:t>20XX</w:t>
            </w:r>
            <w:r>
              <w:rPr>
                <w:rFonts w:hint="eastAsia" w:ascii="仿宋_GB2312" w:hAnsi="楷体" w:eastAsia="仿宋_GB2312" w:cs="Times New Roman"/>
                <w:b/>
                <w:bCs/>
                <w:color w:val="000000"/>
                <w:szCs w:val="21"/>
              </w:rPr>
              <w:t>年1-</w:t>
            </w:r>
            <w:r>
              <w:rPr>
                <w:rFonts w:hint="eastAsia" w:ascii="仿宋_GB2312" w:hAnsi="Times New Roman" w:eastAsia="仿宋_GB2312" w:cs="Times New Roman"/>
                <w:b/>
                <w:bCs/>
                <w:color w:val="000000"/>
                <w:szCs w:val="21"/>
              </w:rPr>
              <w:t>6</w:t>
            </w:r>
            <w:r>
              <w:rPr>
                <w:rFonts w:hint="eastAsia" w:ascii="仿宋_GB2312" w:hAnsi="楷体" w:eastAsia="仿宋_GB2312" w:cs="Times New Roman"/>
                <w:b/>
                <w:bCs/>
                <w:color w:val="000000"/>
                <w:szCs w:val="21"/>
              </w:rPr>
              <w:t>月</w:t>
            </w:r>
          </w:p>
        </w:tc>
        <w:tc>
          <w:tcPr>
            <w:tcW w:w="969" w:type="dxa"/>
            <w:shd w:val="clear" w:color="auto" w:fill="auto"/>
            <w:vAlign w:val="center"/>
          </w:tcPr>
          <w:p>
            <w:pPr>
              <w:jc w:val="center"/>
              <w:rPr>
                <w:rFonts w:ascii="仿宋_GB2312" w:hAnsi="楷体" w:eastAsia="仿宋_GB2312"/>
                <w:b/>
                <w:bCs/>
                <w:color w:val="000000"/>
                <w:szCs w:val="21"/>
              </w:rPr>
            </w:pPr>
            <w:r>
              <w:rPr>
                <w:rFonts w:hint="eastAsia" w:ascii="仿宋_GB2312" w:hAnsi="楷体" w:eastAsia="仿宋_GB2312"/>
                <w:b/>
                <w:bCs/>
                <w:color w:val="000000"/>
                <w:szCs w:val="21"/>
              </w:rPr>
              <w:t>同比</w:t>
            </w:r>
          </w:p>
        </w:tc>
        <w:tc>
          <w:tcPr>
            <w:tcW w:w="4418" w:type="dxa"/>
            <w:shd w:val="clear" w:color="auto" w:fill="auto"/>
            <w:vAlign w:val="center"/>
          </w:tcPr>
          <w:p>
            <w:pPr>
              <w:jc w:val="center"/>
              <w:rPr>
                <w:rFonts w:ascii="仿宋_GB2312" w:hAnsi="楷体" w:eastAsia="仿宋_GB2312"/>
                <w:b/>
                <w:bCs/>
                <w:color w:val="000000"/>
                <w:szCs w:val="21"/>
              </w:rPr>
            </w:pPr>
            <w:r>
              <w:rPr>
                <w:rFonts w:hint="eastAsia" w:ascii="仿宋_GB2312" w:hAnsi="楷体" w:eastAsia="仿宋_GB2312"/>
                <w:b/>
                <w:bCs/>
                <w:color w:val="000000"/>
                <w:szCs w:val="21"/>
              </w:rPr>
              <w:t>变动原因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营业收入</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jc w:val="cente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营业利润</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净利润</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7" w:type="dxa"/>
            <w:shd w:val="clear" w:color="auto" w:fill="auto"/>
            <w:noWrap/>
            <w:vAlign w:val="center"/>
          </w:tcPr>
          <w:p>
            <w:pPr>
              <w:rPr>
                <w:rFonts w:ascii="仿宋_GB2312" w:hAnsi="楷体" w:eastAsia="仿宋_GB2312"/>
                <w:color w:val="000000"/>
                <w:szCs w:val="21"/>
              </w:rPr>
            </w:pPr>
            <w:r>
              <w:rPr>
                <w:rFonts w:hint="eastAsia" w:ascii="仿宋_GB2312" w:hAnsi="楷体" w:eastAsia="仿宋_GB2312"/>
                <w:color w:val="000000"/>
                <w:szCs w:val="21"/>
              </w:rPr>
              <w:t>经营活动产生的现金流量净额</w:t>
            </w:r>
          </w:p>
        </w:tc>
        <w:tc>
          <w:tcPr>
            <w:tcW w:w="1559" w:type="dxa"/>
            <w:shd w:val="clear" w:color="auto" w:fill="auto"/>
            <w:noWrap/>
            <w:vAlign w:val="center"/>
          </w:tcPr>
          <w:p>
            <w:pPr>
              <w:jc w:val="right"/>
              <w:rPr>
                <w:rFonts w:ascii="仿宋_GB2312" w:hAnsi="Times New Roman" w:eastAsia="仿宋_GB2312" w:cs="Times New Roman"/>
                <w:color w:val="000000"/>
                <w:szCs w:val="21"/>
              </w:rPr>
            </w:pPr>
          </w:p>
        </w:tc>
        <w:tc>
          <w:tcPr>
            <w:tcW w:w="969" w:type="dxa"/>
            <w:shd w:val="clear" w:color="auto" w:fill="auto"/>
            <w:noWrap/>
            <w:vAlign w:val="center"/>
          </w:tcPr>
          <w:p>
            <w:pPr>
              <w:jc w:val="right"/>
              <w:rPr>
                <w:rFonts w:ascii="仿宋_GB2312" w:hAnsi="Times New Roman" w:eastAsia="仿宋_GB2312" w:cs="Times New Roman"/>
                <w:color w:val="000000"/>
                <w:szCs w:val="21"/>
              </w:rPr>
            </w:pPr>
          </w:p>
        </w:tc>
        <w:tc>
          <w:tcPr>
            <w:tcW w:w="4418" w:type="dxa"/>
            <w:shd w:val="clear" w:color="auto" w:fill="auto"/>
            <w:vAlign w:val="center"/>
          </w:tcPr>
          <w:p>
            <w:pPr>
              <w:rPr>
                <w:rFonts w:ascii="仿宋_GB2312" w:hAnsi="楷体" w:eastAsia="仿宋_GB2312"/>
                <w:color w:val="000000"/>
                <w:szCs w:val="21"/>
              </w:rPr>
            </w:pPr>
          </w:p>
        </w:tc>
      </w:tr>
    </w:tbl>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表下针对性展开披露对投资者作出价值判断和对投资决策有重大影响的信息。</w:t>
      </w:r>
    </w:p>
    <w:p>
      <w:pPr>
        <w:adjustRightInd w:val="0"/>
        <w:snapToGrid w:val="0"/>
        <w:spacing w:line="560" w:lineRule="exact"/>
        <w:jc w:val="left"/>
        <w:outlineLvl w:val="0"/>
        <w:rPr>
          <w:rFonts w:ascii="黑体" w:hAnsi="黑体" w:eastAsia="黑体"/>
          <w:bCs/>
          <w:color w:val="000000"/>
          <w:kern w:val="0"/>
          <w:sz w:val="32"/>
          <w:szCs w:val="30"/>
          <w:lang w:bidi="en-US"/>
        </w:rPr>
      </w:pPr>
      <w:r>
        <w:rPr>
          <w:rFonts w:ascii="仿宋_GB2312" w:hAnsi="黑体" w:eastAsia="仿宋_GB2312"/>
          <w:sz w:val="30"/>
          <w:szCs w:val="30"/>
        </w:rPr>
        <w:br w:type="page"/>
      </w:r>
      <w:r>
        <w:rPr>
          <w:rFonts w:hint="eastAsia" w:ascii="黑体" w:hAnsi="黑体" w:eastAsia="黑体"/>
          <w:bCs/>
          <w:color w:val="000000"/>
          <w:kern w:val="0"/>
          <w:sz w:val="32"/>
          <w:szCs w:val="30"/>
          <w:lang w:bidi="en-US"/>
        </w:rPr>
        <w:t>附件6</w:t>
      </w:r>
      <w:r>
        <w:rPr>
          <w:rFonts w:ascii="黑体" w:hAnsi="黑体" w:eastAsia="黑体"/>
          <w:bCs/>
          <w:color w:val="000000"/>
          <w:kern w:val="0"/>
          <w:sz w:val="32"/>
          <w:szCs w:val="30"/>
          <w:lang w:bidi="en-US"/>
        </w:rPr>
        <w:t xml:space="preserve"> </w:t>
      </w:r>
    </w:p>
    <w:p>
      <w:pPr>
        <w:adjustRightInd w:val="0"/>
        <w:snapToGrid w:val="0"/>
        <w:spacing w:line="560" w:lineRule="exact"/>
        <w:jc w:val="left"/>
        <w:outlineLvl w:val="0"/>
        <w:rPr>
          <w:rFonts w:ascii="黑体" w:hAnsi="黑体" w:eastAsia="黑体"/>
          <w:bCs/>
          <w:color w:val="000000"/>
          <w:kern w:val="0"/>
          <w:sz w:val="32"/>
          <w:szCs w:val="30"/>
          <w:lang w:bidi="en-US"/>
        </w:rPr>
      </w:pPr>
    </w:p>
    <w:p>
      <w:pPr>
        <w:adjustRightInd w:val="0"/>
        <w:snapToGrid w:val="0"/>
        <w:spacing w:line="560" w:lineRule="exact"/>
        <w:jc w:val="center"/>
        <w:outlineLvl w:val="0"/>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索引式披露参考格式</w:t>
      </w:r>
    </w:p>
    <w:p>
      <w:pPr>
        <w:adjustRightInd w:val="0"/>
        <w:snapToGrid w:val="0"/>
        <w:spacing w:line="560" w:lineRule="exact"/>
        <w:jc w:val="left"/>
        <w:outlineLvl w:val="0"/>
        <w:rPr>
          <w:rFonts w:ascii="仿宋_GB2312" w:hAnsi="Times New Roman" w:eastAsia="仿宋_GB2312"/>
          <w:b/>
          <w:bCs/>
          <w:color w:val="000000"/>
          <w:kern w:val="0"/>
          <w:sz w:val="32"/>
          <w:szCs w:val="30"/>
          <w:lang w:bidi="en-US"/>
        </w:rPr>
      </w:pPr>
    </w:p>
    <w:p>
      <w:pPr>
        <w:spacing w:line="560" w:lineRule="exact"/>
        <w:ind w:firstLine="642" w:firstLineChars="200"/>
        <w:contextualSpacing/>
        <w:rPr>
          <w:rFonts w:ascii="仿宋_GB2312" w:eastAsia="仿宋_GB2312"/>
          <w:b/>
          <w:bCs/>
          <w:sz w:val="32"/>
          <w:szCs w:val="32"/>
        </w:rPr>
      </w:pPr>
      <w:r>
        <w:rPr>
          <w:rFonts w:hint="eastAsia" w:ascii="仿宋_GB2312" w:eastAsia="仿宋_GB2312"/>
          <w:b/>
          <w:bCs/>
          <w:sz w:val="32"/>
          <w:szCs w:val="32"/>
        </w:rPr>
        <w:t>□章节部分内容采用索引式披露</w:t>
      </w:r>
    </w:p>
    <w:p>
      <w:pPr>
        <w:widowControl/>
        <w:spacing w:line="560" w:lineRule="exact"/>
        <w:jc w:val="center"/>
        <w:rPr>
          <w:rFonts w:ascii="黑体" w:hAnsi="黑体" w:eastAsia="黑体"/>
          <w:b/>
          <w:sz w:val="44"/>
          <w:szCs w:val="44"/>
        </w:rPr>
      </w:pPr>
    </w:p>
    <w:p>
      <w:pPr>
        <w:widowControl/>
        <w:spacing w:line="560" w:lineRule="exact"/>
        <w:jc w:val="center"/>
        <w:rPr>
          <w:rFonts w:ascii="黑体" w:hAnsi="黑体" w:eastAsia="黑体"/>
          <w:b/>
          <w:sz w:val="36"/>
          <w:szCs w:val="36"/>
        </w:rPr>
      </w:pPr>
      <w:r>
        <w:rPr>
          <w:rFonts w:hint="eastAsia" w:ascii="黑体" w:hAnsi="黑体" w:eastAsia="黑体"/>
          <w:b/>
          <w:sz w:val="36"/>
          <w:szCs w:val="36"/>
        </w:rPr>
        <w:t>第四节</w:t>
      </w:r>
      <w:r>
        <w:rPr>
          <w:rFonts w:ascii="黑体" w:hAnsi="黑体" w:eastAsia="黑体"/>
          <w:b/>
          <w:sz w:val="36"/>
          <w:szCs w:val="36"/>
        </w:rPr>
        <w:t xml:space="preserve"> </w:t>
      </w:r>
      <w:r>
        <w:rPr>
          <w:rFonts w:hint="eastAsia" w:ascii="黑体" w:hAnsi="黑体" w:eastAsia="黑体"/>
          <w:b/>
          <w:sz w:val="36"/>
          <w:szCs w:val="36"/>
        </w:rPr>
        <w:t>发行人基本情况</w:t>
      </w:r>
    </w:p>
    <w:p>
      <w:pPr>
        <w:spacing w:line="600" w:lineRule="exact"/>
        <w:ind w:firstLine="600" w:firstLineChars="200"/>
        <w:contextualSpacing/>
        <w:rPr>
          <w:rFonts w:ascii="仿宋_GB2312" w:hAnsi="仿宋" w:eastAsia="仿宋_GB2312" w:cs="Times New Roman"/>
          <w:bCs/>
          <w:sz w:val="30"/>
          <w:szCs w:val="30"/>
        </w:rPr>
      </w:pPr>
    </w:p>
    <w:p>
      <w:pPr>
        <w:spacing w:line="560" w:lineRule="exact"/>
        <w:ind w:firstLine="642" w:firstLineChars="200"/>
        <w:contextualSpacing/>
        <w:rPr>
          <w:rFonts w:ascii="黑体" w:hAnsi="黑体" w:eastAsia="黑体" w:cs="Times New Roman"/>
          <w:b/>
          <w:bCs/>
          <w:sz w:val="32"/>
          <w:szCs w:val="32"/>
        </w:rPr>
      </w:pPr>
      <w:r>
        <w:rPr>
          <w:rFonts w:hint="eastAsia" w:ascii="黑体" w:hAnsi="黑体" w:eastAsia="黑体" w:cs="Times New Roman"/>
          <w:b/>
          <w:bCs/>
          <w:sz w:val="32"/>
          <w:szCs w:val="32"/>
        </w:rPr>
        <w:t>一、本章信息披露概要</w:t>
      </w:r>
    </w:p>
    <w:p>
      <w:pPr>
        <w:spacing w:line="560" w:lineRule="exact"/>
        <w:ind w:firstLine="640" w:firstLineChars="200"/>
        <w:contextualSpacing/>
        <w:rPr>
          <w:rFonts w:ascii="仿宋_GB2312" w:hAnsi="仿宋" w:eastAsia="仿宋_GB2312" w:cs="Times New Roman"/>
          <w:bCs/>
          <w:sz w:val="32"/>
          <w:szCs w:val="32"/>
        </w:rPr>
      </w:pPr>
      <w:r>
        <w:rPr>
          <w:rFonts w:hint="eastAsia" w:ascii="仿宋_GB2312" w:hAnsi="仿宋" w:eastAsia="仿宋_GB2312" w:cs="Times New Roman"/>
          <w:bCs/>
          <w:sz w:val="32"/>
          <w:szCs w:val="32"/>
        </w:rPr>
        <w:t>本章节部分内容采用索引式披露，投资者可以访问募集说明书提供的索引式披露地址进行查询。</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contextualSpacing/>
              <w:jc w:val="center"/>
              <w:rPr>
                <w:rFonts w:ascii="仿宋_GB2312" w:hAnsi="仿宋" w:eastAsia="仿宋_GB2312" w:cs="Times New Roman"/>
                <w:b/>
                <w:szCs w:val="21"/>
              </w:rPr>
            </w:pPr>
            <w:r>
              <w:rPr>
                <w:rFonts w:hint="eastAsia" w:ascii="仿宋_GB2312" w:hAnsi="仿宋" w:eastAsia="仿宋_GB2312" w:cs="Times New Roman"/>
                <w:b/>
                <w:szCs w:val="21"/>
              </w:rPr>
              <w:t>章节内容</w:t>
            </w:r>
          </w:p>
        </w:tc>
        <w:tc>
          <w:tcPr>
            <w:tcW w:w="2841" w:type="dxa"/>
          </w:tcPr>
          <w:p>
            <w:pPr>
              <w:contextualSpacing/>
              <w:jc w:val="center"/>
              <w:rPr>
                <w:rFonts w:ascii="仿宋_GB2312" w:hAnsi="仿宋" w:eastAsia="仿宋_GB2312" w:cs="Times New Roman"/>
                <w:b/>
                <w:szCs w:val="21"/>
              </w:rPr>
            </w:pPr>
            <w:r>
              <w:rPr>
                <w:rFonts w:hint="eastAsia" w:ascii="仿宋_GB2312" w:hAnsi="仿宋" w:eastAsia="仿宋_GB2312" w:cs="Times New Roman"/>
                <w:b/>
                <w:szCs w:val="21"/>
              </w:rPr>
              <w:t>披露方式</w:t>
            </w:r>
          </w:p>
        </w:tc>
        <w:tc>
          <w:tcPr>
            <w:tcW w:w="2841" w:type="dxa"/>
          </w:tcPr>
          <w:p>
            <w:pPr>
              <w:contextualSpacing/>
              <w:jc w:val="center"/>
              <w:rPr>
                <w:rFonts w:ascii="仿宋_GB2312" w:hAnsi="仿宋" w:eastAsia="仿宋_GB2312" w:cs="Times New Roman"/>
                <w:b/>
                <w:szCs w:val="21"/>
              </w:rPr>
            </w:pPr>
            <w:r>
              <w:rPr>
                <w:rFonts w:hint="eastAsia" w:ascii="仿宋_GB2312" w:hAnsi="仿宋" w:eastAsia="仿宋_GB2312" w:cs="Times New Roman"/>
                <w:b/>
                <w:szCs w:val="21"/>
              </w:rPr>
              <w:t>查询地址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发行人基本情况</w:t>
            </w:r>
            <w:r>
              <w:rPr>
                <w:rFonts w:hint="eastAsia" w:ascii="仿宋_GB2312" w:hAnsi="仿宋" w:eastAsia="仿宋_GB2312" w:cs="Times New Roman"/>
                <w:bCs/>
                <w:i/>
                <w:szCs w:val="21"/>
              </w:rPr>
              <w:t>（示例）</w:t>
            </w:r>
          </w:p>
        </w:tc>
        <w:tc>
          <w:tcPr>
            <w:tcW w:w="2841"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索引式披露</w:t>
            </w:r>
          </w:p>
        </w:tc>
        <w:tc>
          <w:tcPr>
            <w:tcW w:w="2841"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查询网址：……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发行人的历史沿革及重大资产重组情况</w:t>
            </w:r>
            <w:r>
              <w:rPr>
                <w:rFonts w:hint="eastAsia" w:ascii="仿宋_GB2312" w:hAnsi="仿宋" w:eastAsia="仿宋_GB2312" w:cs="Times New Roman"/>
                <w:bCs/>
                <w:i/>
                <w:szCs w:val="21"/>
              </w:rPr>
              <w:t>（示例）</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索引式披露</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查询网址：……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发行人的股权结构</w:t>
            </w:r>
            <w:r>
              <w:rPr>
                <w:rFonts w:hint="eastAsia" w:ascii="仿宋_GB2312" w:hAnsi="仿宋" w:eastAsia="仿宋_GB2312" w:cs="Times New Roman"/>
                <w:bCs/>
                <w:i/>
                <w:szCs w:val="21"/>
              </w:rPr>
              <w:t>（示例）</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索引式披露</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查询网址：……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发行人的重要权益投资情况</w:t>
            </w:r>
            <w:r>
              <w:rPr>
                <w:rFonts w:hint="eastAsia" w:ascii="仿宋_GB2312" w:hAnsi="仿宋" w:eastAsia="仿宋_GB2312" w:cs="Times New Roman"/>
                <w:bCs/>
                <w:i/>
                <w:szCs w:val="21"/>
              </w:rPr>
              <w:t>（示例）</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索引式披露</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查询网址：……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发行人的治理结构等情况</w:t>
            </w:r>
            <w:r>
              <w:rPr>
                <w:rFonts w:hint="eastAsia" w:ascii="仿宋_GB2312" w:hAnsi="仿宋" w:eastAsia="仿宋_GB2312" w:cs="Times New Roman"/>
                <w:bCs/>
                <w:i/>
                <w:szCs w:val="21"/>
              </w:rPr>
              <w:t>（示例）</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索引式披露</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查询网址：……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发行人的董监高情况</w:t>
            </w:r>
            <w:r>
              <w:rPr>
                <w:rFonts w:hint="eastAsia" w:ascii="仿宋_GB2312" w:hAnsi="仿宋" w:eastAsia="仿宋_GB2312" w:cs="Times New Roman"/>
                <w:bCs/>
                <w:i/>
                <w:szCs w:val="21"/>
              </w:rPr>
              <w:t>（示例）</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一般披露</w:t>
            </w:r>
          </w:p>
        </w:tc>
        <w:tc>
          <w:tcPr>
            <w:tcW w:w="2841" w:type="dxa"/>
            <w:vAlign w:val="center"/>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tcPr>
          <w:p>
            <w:pPr>
              <w:contextualSpacing/>
              <w:rPr>
                <w:rFonts w:ascii="仿宋_GB2312" w:hAnsi="仿宋" w:eastAsia="仿宋_GB2312" w:cs="Times New Roman"/>
                <w:bCs/>
                <w:szCs w:val="21"/>
              </w:rPr>
            </w:pPr>
            <w:r>
              <w:rPr>
                <w:rFonts w:hint="eastAsia" w:ascii="仿宋_GB2312" w:hAnsi="仿宋" w:eastAsia="仿宋_GB2312" w:cs="Times New Roman"/>
                <w:bCs/>
                <w:szCs w:val="21"/>
              </w:rPr>
              <w:t>……</w:t>
            </w:r>
          </w:p>
        </w:tc>
        <w:tc>
          <w:tcPr>
            <w:tcW w:w="2841" w:type="dxa"/>
          </w:tcPr>
          <w:p>
            <w:pPr>
              <w:contextualSpacing/>
              <w:rPr>
                <w:rFonts w:ascii="仿宋_GB2312" w:hAnsi="仿宋" w:eastAsia="仿宋_GB2312" w:cs="Times New Roman"/>
                <w:bCs/>
                <w:szCs w:val="21"/>
              </w:rPr>
            </w:pPr>
          </w:p>
        </w:tc>
        <w:tc>
          <w:tcPr>
            <w:tcW w:w="2841" w:type="dxa"/>
          </w:tcPr>
          <w:p>
            <w:pPr>
              <w:contextualSpacing/>
              <w:rPr>
                <w:rFonts w:ascii="仿宋_GB2312" w:hAnsi="仿宋" w:eastAsia="仿宋_GB2312" w:cs="Times New Roman"/>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contextualSpacing/>
              <w:rPr>
                <w:rFonts w:ascii="仿宋_GB2312" w:hAnsi="仿宋" w:eastAsia="仿宋_GB2312" w:cs="Times New Roman"/>
                <w:bCs/>
                <w:szCs w:val="21"/>
              </w:rPr>
            </w:pPr>
          </w:p>
        </w:tc>
        <w:tc>
          <w:tcPr>
            <w:tcW w:w="2841" w:type="dxa"/>
          </w:tcPr>
          <w:p>
            <w:pPr>
              <w:contextualSpacing/>
              <w:rPr>
                <w:rFonts w:ascii="仿宋_GB2312" w:hAnsi="仿宋" w:eastAsia="仿宋_GB2312" w:cs="Times New Roman"/>
                <w:bCs/>
                <w:szCs w:val="21"/>
              </w:rPr>
            </w:pPr>
          </w:p>
        </w:tc>
        <w:tc>
          <w:tcPr>
            <w:tcW w:w="2841" w:type="dxa"/>
          </w:tcPr>
          <w:p>
            <w:pPr>
              <w:contextualSpacing/>
              <w:rPr>
                <w:rFonts w:ascii="仿宋_GB2312" w:hAnsi="仿宋" w:eastAsia="仿宋_GB2312" w:cs="Times New Roman"/>
                <w:bCs/>
                <w:szCs w:val="21"/>
              </w:rPr>
            </w:pPr>
          </w:p>
        </w:tc>
      </w:tr>
    </w:tbl>
    <w:p>
      <w:pPr>
        <w:spacing w:line="560" w:lineRule="exact"/>
        <w:ind w:firstLine="642" w:firstLineChars="200"/>
        <w:contextualSpacing/>
        <w:rPr>
          <w:rFonts w:ascii="黑体" w:hAnsi="黑体" w:eastAsia="黑体" w:cs="Times New Roman"/>
          <w:b/>
          <w:bCs/>
          <w:sz w:val="32"/>
          <w:szCs w:val="32"/>
        </w:rPr>
      </w:pPr>
      <w:r>
        <w:rPr>
          <w:rFonts w:hint="eastAsia" w:ascii="黑体" w:hAnsi="黑体" w:eastAsia="黑体" w:cs="Times New Roman"/>
          <w:b/>
          <w:bCs/>
          <w:sz w:val="32"/>
          <w:szCs w:val="32"/>
        </w:rPr>
        <w:t>二、发行人的董监高情况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截至报告期末，发行人董监高情况如下：</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1053"/>
        <w:gridCol w:w="1062"/>
        <w:gridCol w:w="1275"/>
        <w:gridCol w:w="1437"/>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33"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姓名</w:t>
            </w:r>
          </w:p>
        </w:tc>
        <w:tc>
          <w:tcPr>
            <w:tcW w:w="618"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现任</w:t>
            </w:r>
          </w:p>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职务</w:t>
            </w:r>
          </w:p>
        </w:tc>
        <w:tc>
          <w:tcPr>
            <w:tcW w:w="623"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任期</w:t>
            </w:r>
          </w:p>
          <w:p>
            <w:pPr>
              <w:adjustRightInd w:val="0"/>
              <w:snapToGrid w:val="0"/>
              <w:jc w:val="center"/>
              <w:rPr>
                <w:rFonts w:ascii="仿宋_GB2312" w:hAnsi="Times" w:eastAsia="仿宋_GB2312" w:cs="Times New Roman"/>
                <w:b/>
                <w:bCs/>
                <w:szCs w:val="21"/>
              </w:rPr>
            </w:pPr>
            <w:r>
              <w:rPr>
                <w:rFonts w:ascii="仿宋_GB2312" w:hAnsi="Times" w:eastAsia="仿宋_GB2312" w:cs="Times New Roman"/>
                <w:b/>
                <w:bCs/>
                <w:szCs w:val="21"/>
              </w:rPr>
              <w:t>(</w:t>
            </w:r>
            <w:r>
              <w:rPr>
                <w:rFonts w:hint="eastAsia" w:ascii="仿宋_GB2312" w:hAnsi="Times" w:eastAsia="仿宋_GB2312" w:cs="Times New Roman"/>
                <w:b/>
                <w:bCs/>
                <w:szCs w:val="21"/>
              </w:rPr>
              <w:t>如有)</w:t>
            </w:r>
          </w:p>
        </w:tc>
        <w:tc>
          <w:tcPr>
            <w:tcW w:w="748"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设置是否符合</w:t>
            </w:r>
            <w:r>
              <w:rPr>
                <w:rFonts w:ascii="仿宋_GB2312" w:hAnsi="Times" w:eastAsia="仿宋_GB2312" w:cs="Times New Roman"/>
                <w:b/>
                <w:szCs w:val="21"/>
              </w:rPr>
              <w:t>《公司法》等相关法律法规及公司章程</w:t>
            </w:r>
            <w:r>
              <w:rPr>
                <w:rFonts w:hint="eastAsia" w:ascii="仿宋_GB2312" w:hAnsi="Times" w:eastAsia="仿宋_GB2312" w:cs="Times New Roman"/>
                <w:b/>
                <w:szCs w:val="21"/>
              </w:rPr>
              <w:t>相关要求</w:t>
            </w:r>
          </w:p>
        </w:tc>
        <w:tc>
          <w:tcPr>
            <w:tcW w:w="843"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是否存在重大违纪违法情况</w:t>
            </w:r>
          </w:p>
        </w:tc>
        <w:tc>
          <w:tcPr>
            <w:tcW w:w="1235"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其他（如需）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 w:type="pct"/>
            <w:vAlign w:val="center"/>
          </w:tcPr>
          <w:p>
            <w:pPr>
              <w:adjustRightInd w:val="0"/>
              <w:snapToGrid w:val="0"/>
              <w:jc w:val="center"/>
              <w:rPr>
                <w:rFonts w:ascii="仿宋_GB2312" w:hAnsi="Times" w:eastAsia="仿宋_GB2312" w:cs="Times New Roman"/>
                <w:bCs/>
                <w:szCs w:val="21"/>
              </w:rPr>
            </w:pPr>
          </w:p>
        </w:tc>
        <w:tc>
          <w:tcPr>
            <w:tcW w:w="618" w:type="pct"/>
            <w:vAlign w:val="center"/>
          </w:tcPr>
          <w:p>
            <w:pPr>
              <w:adjustRightInd w:val="0"/>
              <w:snapToGrid w:val="0"/>
              <w:jc w:val="center"/>
              <w:rPr>
                <w:rFonts w:ascii="仿宋_GB2312" w:hAnsi="Times" w:eastAsia="仿宋_GB2312" w:cs="Times New Roman"/>
                <w:bCs/>
                <w:szCs w:val="21"/>
              </w:rPr>
            </w:pPr>
          </w:p>
        </w:tc>
        <w:tc>
          <w:tcPr>
            <w:tcW w:w="623" w:type="pct"/>
            <w:vAlign w:val="center"/>
          </w:tcPr>
          <w:p>
            <w:pPr>
              <w:adjustRightInd w:val="0"/>
              <w:snapToGrid w:val="0"/>
              <w:jc w:val="center"/>
              <w:rPr>
                <w:rFonts w:ascii="仿宋_GB2312" w:hAnsi="Times" w:eastAsia="仿宋_GB2312" w:cs="Times New Roman"/>
                <w:bCs/>
                <w:szCs w:val="21"/>
              </w:rPr>
            </w:pPr>
          </w:p>
        </w:tc>
        <w:tc>
          <w:tcPr>
            <w:tcW w:w="748"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是/否</w:t>
            </w:r>
          </w:p>
        </w:tc>
        <w:tc>
          <w:tcPr>
            <w:tcW w:w="843"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是/否</w:t>
            </w:r>
          </w:p>
        </w:tc>
        <w:tc>
          <w:tcPr>
            <w:tcW w:w="1235"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（简述概况）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 w:type="pct"/>
            <w:vAlign w:val="center"/>
          </w:tcPr>
          <w:p>
            <w:pPr>
              <w:adjustRightInd w:val="0"/>
              <w:snapToGrid w:val="0"/>
              <w:jc w:val="center"/>
              <w:rPr>
                <w:rFonts w:ascii="仿宋_GB2312" w:hAnsi="Times" w:eastAsia="仿宋_GB2312" w:cs="Times New Roman"/>
                <w:bCs/>
                <w:szCs w:val="21"/>
              </w:rPr>
            </w:pPr>
          </w:p>
        </w:tc>
        <w:tc>
          <w:tcPr>
            <w:tcW w:w="618" w:type="pct"/>
            <w:vAlign w:val="center"/>
          </w:tcPr>
          <w:p>
            <w:pPr>
              <w:adjustRightInd w:val="0"/>
              <w:snapToGrid w:val="0"/>
              <w:jc w:val="center"/>
              <w:rPr>
                <w:rFonts w:ascii="仿宋_GB2312" w:hAnsi="Times" w:eastAsia="仿宋_GB2312" w:cs="Times New Roman"/>
                <w:bCs/>
                <w:szCs w:val="21"/>
              </w:rPr>
            </w:pPr>
          </w:p>
        </w:tc>
        <w:tc>
          <w:tcPr>
            <w:tcW w:w="623" w:type="pct"/>
            <w:vAlign w:val="center"/>
          </w:tcPr>
          <w:p>
            <w:pPr>
              <w:adjustRightInd w:val="0"/>
              <w:snapToGrid w:val="0"/>
              <w:jc w:val="center"/>
              <w:rPr>
                <w:rFonts w:ascii="仿宋_GB2312" w:hAnsi="Times" w:eastAsia="仿宋_GB2312" w:cs="Times New Roman"/>
                <w:bCs/>
                <w:szCs w:val="21"/>
              </w:rPr>
            </w:pPr>
          </w:p>
        </w:tc>
        <w:tc>
          <w:tcPr>
            <w:tcW w:w="748" w:type="pct"/>
            <w:vAlign w:val="center"/>
          </w:tcPr>
          <w:p>
            <w:pPr>
              <w:adjustRightInd w:val="0"/>
              <w:snapToGrid w:val="0"/>
              <w:jc w:val="center"/>
              <w:rPr>
                <w:rFonts w:ascii="仿宋_GB2312" w:hAnsi="Times" w:eastAsia="仿宋_GB2312" w:cs="Times New Roman"/>
                <w:szCs w:val="21"/>
              </w:rPr>
            </w:pPr>
          </w:p>
        </w:tc>
        <w:tc>
          <w:tcPr>
            <w:tcW w:w="843" w:type="pct"/>
            <w:vAlign w:val="center"/>
          </w:tcPr>
          <w:p>
            <w:pPr>
              <w:adjustRightInd w:val="0"/>
              <w:snapToGrid w:val="0"/>
              <w:jc w:val="center"/>
              <w:rPr>
                <w:rFonts w:ascii="仿宋_GB2312" w:hAnsi="Times" w:eastAsia="仿宋_GB2312" w:cs="Times New Roman"/>
                <w:szCs w:val="21"/>
              </w:rPr>
            </w:pPr>
          </w:p>
        </w:tc>
        <w:tc>
          <w:tcPr>
            <w:tcW w:w="1235" w:type="pct"/>
            <w:vAlign w:val="center"/>
          </w:tcPr>
          <w:p>
            <w:pPr>
              <w:adjustRightInd w:val="0"/>
              <w:snapToGrid w:val="0"/>
              <w:jc w:val="center"/>
              <w:rPr>
                <w:rFonts w:ascii="仿宋_GB2312" w:hAnsi="Times" w:eastAsia="仿宋_GB2312" w:cs="Times New Roman"/>
                <w:szCs w:val="21"/>
              </w:rPr>
            </w:pPr>
          </w:p>
        </w:tc>
      </w:tr>
    </w:tbl>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□【相关人员设置存在不符合上述相关要求或存在重大违纪违法情形的】具体情况、原因及对发行人经营情况和偿债能力的影响如下：</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ascii="仿宋_GB2312" w:hAnsi="仿宋" w:eastAsia="仿宋_GB2312" w:cs="Times New Roman"/>
          <w:bCs/>
          <w:color w:val="000000" w:themeColor="text1"/>
          <w:sz w:val="32"/>
          <w:szCs w:val="32"/>
        </w:rPr>
        <w:t>___________________________________________________</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□【报告期内发行人董监高变动频繁或变动人数比例较大的】报告期内发行人董监高变动情况如下（包括董监高变动较大的原因及其对发行人组织机构运行的影响）：</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ascii="仿宋_GB2312" w:hAnsi="仿宋" w:eastAsia="仿宋_GB2312" w:cs="Times New Roman"/>
          <w:bCs/>
          <w:color w:val="000000" w:themeColor="text1"/>
          <w:sz w:val="32"/>
          <w:szCs w:val="32"/>
        </w:rPr>
        <w:t>___________________________________________________</w:t>
      </w:r>
    </w:p>
    <w:p>
      <w:pPr>
        <w:spacing w:line="560" w:lineRule="exact"/>
        <w:ind w:firstLine="640" w:firstLineChars="200"/>
        <w:contextualSpacing/>
        <w:rPr>
          <w:rFonts w:ascii="仿宋_GB2312" w:hAnsi="仿宋" w:eastAsia="仿宋_GB2312" w:cs="Times New Roman"/>
          <w:bCs/>
          <w:sz w:val="32"/>
          <w:szCs w:val="32"/>
        </w:rPr>
      </w:pPr>
    </w:p>
    <w:p>
      <w:pPr>
        <w:spacing w:line="560" w:lineRule="exact"/>
        <w:ind w:firstLine="642" w:firstLineChars="200"/>
        <w:contextualSpacing/>
        <w:rPr>
          <w:rFonts w:ascii="仿宋_GB2312" w:hAnsi="仿宋" w:eastAsia="仿宋_GB2312" w:cs="Times New Roman"/>
          <w:b/>
          <w:bCs/>
          <w:sz w:val="32"/>
          <w:szCs w:val="32"/>
        </w:rPr>
      </w:pPr>
      <w:r>
        <w:rPr>
          <w:rFonts w:hint="eastAsia" w:ascii="仿宋_GB2312" w:eastAsia="仿宋_GB2312"/>
          <w:b/>
          <w:bCs/>
          <w:sz w:val="32"/>
          <w:szCs w:val="32"/>
        </w:rPr>
        <w:t>□</w:t>
      </w:r>
      <w:r>
        <w:rPr>
          <w:rFonts w:hint="eastAsia" w:ascii="仿宋_GB2312" w:hAnsi="仿宋" w:eastAsia="仿宋_GB2312" w:cs="Times New Roman"/>
          <w:b/>
          <w:bCs/>
          <w:sz w:val="32"/>
          <w:szCs w:val="32"/>
        </w:rPr>
        <w:t>章节内容全部采用索引式披露</w:t>
      </w:r>
    </w:p>
    <w:p>
      <w:pPr>
        <w:widowControl/>
        <w:spacing w:line="560" w:lineRule="exact"/>
        <w:jc w:val="center"/>
        <w:rPr>
          <w:rFonts w:ascii="黑体" w:hAnsi="黑体" w:eastAsia="黑体"/>
          <w:b/>
          <w:sz w:val="44"/>
          <w:szCs w:val="44"/>
        </w:rPr>
      </w:pPr>
    </w:p>
    <w:p>
      <w:pPr>
        <w:widowControl/>
        <w:spacing w:line="560" w:lineRule="exact"/>
        <w:jc w:val="center"/>
        <w:rPr>
          <w:rFonts w:ascii="黑体" w:hAnsi="黑体" w:eastAsia="黑体"/>
          <w:b/>
          <w:sz w:val="36"/>
          <w:szCs w:val="36"/>
        </w:rPr>
      </w:pPr>
      <w:r>
        <w:rPr>
          <w:rFonts w:hint="eastAsia" w:ascii="黑体" w:hAnsi="黑体" w:eastAsia="黑体"/>
          <w:b/>
          <w:sz w:val="36"/>
          <w:szCs w:val="36"/>
        </w:rPr>
        <w:t>第四节</w:t>
      </w:r>
      <w:r>
        <w:rPr>
          <w:rFonts w:ascii="黑体" w:hAnsi="黑体" w:eastAsia="黑体"/>
          <w:b/>
          <w:sz w:val="36"/>
          <w:szCs w:val="36"/>
        </w:rPr>
        <w:t xml:space="preserve"> </w:t>
      </w:r>
      <w:r>
        <w:rPr>
          <w:rFonts w:hint="eastAsia" w:ascii="黑体" w:hAnsi="黑体" w:eastAsia="黑体"/>
          <w:b/>
          <w:sz w:val="36"/>
          <w:szCs w:val="36"/>
        </w:rPr>
        <w:t>发行人基本情况</w:t>
      </w:r>
    </w:p>
    <w:p>
      <w:pPr>
        <w:spacing w:line="560" w:lineRule="exact"/>
        <w:ind w:firstLine="642" w:firstLineChars="200"/>
        <w:contextualSpacing/>
        <w:rPr>
          <w:rFonts w:ascii="仿宋_GB2312" w:hAnsi="仿宋" w:eastAsia="仿宋_GB2312" w:cs="Times New Roman"/>
          <w:b/>
          <w:bCs/>
          <w:sz w:val="32"/>
          <w:szCs w:val="32"/>
        </w:rPr>
      </w:pPr>
    </w:p>
    <w:p>
      <w:pPr>
        <w:spacing w:line="560" w:lineRule="exact"/>
        <w:ind w:firstLine="640" w:firstLineChars="200"/>
        <w:contextualSpacing/>
        <w:rPr>
          <w:rFonts w:ascii="仿宋_GB2312" w:hAnsi="仿宋" w:eastAsia="仿宋_GB2312" w:cs="Times New Roman"/>
          <w:bCs/>
          <w:sz w:val="32"/>
          <w:szCs w:val="32"/>
        </w:rPr>
      </w:pPr>
      <w:r>
        <w:rPr>
          <w:rFonts w:hint="eastAsia" w:ascii="仿宋_GB2312" w:hAnsi="仿宋" w:eastAsia="仿宋_GB2312" w:cs="Times New Roman"/>
          <w:bCs/>
          <w:sz w:val="32"/>
          <w:szCs w:val="32"/>
        </w:rPr>
        <w:t>本章节内容采用索引式披露，投资者可以访问</w:t>
      </w:r>
      <w:r>
        <w:rPr>
          <w:rFonts w:ascii="仿宋_GB2312" w:hAnsi="仿宋" w:eastAsia="仿宋_GB2312" w:cs="Times New Roman"/>
          <w:bCs/>
          <w:sz w:val="32"/>
          <w:szCs w:val="32"/>
        </w:rPr>
        <w:t>XX网址</w:t>
      </w:r>
      <w:r>
        <w:rPr>
          <w:rFonts w:hint="eastAsia" w:ascii="仿宋_GB2312" w:hAnsi="仿宋" w:eastAsia="仿宋_GB2312" w:cs="Times New Roman"/>
          <w:bCs/>
          <w:sz w:val="32"/>
          <w:szCs w:val="32"/>
        </w:rPr>
        <w:t>进行查询。</w:t>
      </w:r>
    </w:p>
    <w:p>
      <w:pPr>
        <w:spacing w:line="560" w:lineRule="exact"/>
        <w:ind w:firstLine="640" w:firstLineChars="200"/>
        <w:contextualSpacing/>
        <w:rPr>
          <w:rFonts w:ascii="仿宋_GB2312" w:hAnsi="仿宋" w:eastAsia="仿宋_GB2312" w:cs="Times New Roman"/>
          <w:bCs/>
          <w:sz w:val="32"/>
          <w:szCs w:val="32"/>
        </w:rPr>
      </w:pPr>
    </w:p>
    <w:p>
      <w:pPr>
        <w:spacing w:line="560" w:lineRule="exact"/>
        <w:ind w:firstLine="642" w:firstLineChars="200"/>
        <w:contextualSpacing/>
        <w:rPr>
          <w:rFonts w:ascii="仿宋_GB2312" w:hAnsi="仿宋" w:eastAsia="仿宋_GB2312" w:cs="Times New Roman"/>
          <w:b/>
          <w:bCs/>
          <w:sz w:val="32"/>
          <w:szCs w:val="32"/>
        </w:rPr>
      </w:pPr>
      <w:r>
        <w:rPr>
          <w:rFonts w:hint="eastAsia" w:ascii="仿宋_GB2312" w:eastAsia="仿宋_GB2312"/>
          <w:b/>
          <w:bCs/>
          <w:sz w:val="32"/>
          <w:szCs w:val="32"/>
        </w:rPr>
        <w:t>□</w:t>
      </w:r>
      <w:r>
        <w:rPr>
          <w:rFonts w:hint="eastAsia" w:ascii="仿宋_GB2312" w:hAnsi="仿宋" w:eastAsia="仿宋_GB2312" w:cs="Times New Roman"/>
          <w:b/>
          <w:bCs/>
          <w:sz w:val="32"/>
          <w:szCs w:val="32"/>
        </w:rPr>
        <w:t>定期报告中采用索引式披露</w:t>
      </w:r>
    </w:p>
    <w:p>
      <w:pPr>
        <w:adjustRightInd w:val="0"/>
        <w:snapToGrid w:val="0"/>
        <w:spacing w:line="560" w:lineRule="exact"/>
        <w:ind w:firstLine="640" w:firstLineChars="200"/>
        <w:jc w:val="left"/>
        <w:outlineLvl w:val="0"/>
        <w:rPr>
          <w:rFonts w:ascii="黑体" w:hAnsi="黑体" w:eastAsia="黑体"/>
          <w:bCs/>
          <w:color w:val="000000"/>
          <w:kern w:val="0"/>
          <w:sz w:val="32"/>
          <w:szCs w:val="30"/>
          <w:lang w:bidi="en-US"/>
        </w:rPr>
      </w:pPr>
      <w:r>
        <w:rPr>
          <w:rFonts w:hint="eastAsia" w:ascii="仿宋_GB2312" w:hAnsi="仿宋" w:eastAsia="仿宋_GB2312" w:cs="Times New Roman"/>
          <w:bCs/>
          <w:sz w:val="32"/>
          <w:szCs w:val="32"/>
        </w:rPr>
        <w:t>优质发行人定期报告中发行人经营情况、评级调整情况、合并报表范围重大变化情况</w:t>
      </w:r>
      <w:r>
        <w:rPr>
          <w:rFonts w:ascii="仿宋_GB2312" w:hAnsi="仿宋" w:eastAsia="仿宋_GB2312" w:cs="Times New Roman"/>
          <w:bCs/>
          <w:sz w:val="32"/>
          <w:szCs w:val="32"/>
        </w:rPr>
        <w:t>,采用索引式披露，投资者可以访问XX网址</w:t>
      </w:r>
      <w:r>
        <w:rPr>
          <w:rFonts w:hint="eastAsia" w:ascii="仿宋_GB2312" w:hAnsi="仿宋" w:eastAsia="仿宋_GB2312" w:cs="Times New Roman"/>
          <w:bCs/>
          <w:sz w:val="32"/>
          <w:szCs w:val="32"/>
        </w:rPr>
        <w:t>进行查询。</w:t>
      </w:r>
      <w:r>
        <w:rPr>
          <w:rFonts w:ascii="仿宋_GB2312" w:hAnsi="仿宋" w:eastAsia="仿宋_GB2312" w:cs="Times New Roman"/>
          <w:bCs/>
          <w:sz w:val="32"/>
          <w:szCs w:val="32"/>
        </w:rPr>
        <w:br w:type="page"/>
      </w:r>
      <w:r>
        <w:rPr>
          <w:rFonts w:hint="eastAsia" w:ascii="黑体" w:hAnsi="黑体" w:eastAsia="黑体"/>
          <w:bCs/>
          <w:color w:val="000000"/>
          <w:kern w:val="0"/>
          <w:sz w:val="32"/>
          <w:szCs w:val="30"/>
          <w:lang w:bidi="en-US"/>
        </w:rPr>
        <w:t>附件7</w:t>
      </w:r>
      <w:r>
        <w:rPr>
          <w:rFonts w:ascii="黑体" w:hAnsi="黑体" w:eastAsia="黑体"/>
          <w:bCs/>
          <w:color w:val="000000"/>
          <w:kern w:val="0"/>
          <w:sz w:val="32"/>
          <w:szCs w:val="30"/>
          <w:lang w:bidi="en-US"/>
        </w:rPr>
        <w:t xml:space="preserve"> </w:t>
      </w:r>
    </w:p>
    <w:p>
      <w:pPr>
        <w:adjustRightInd w:val="0"/>
        <w:snapToGrid w:val="0"/>
        <w:spacing w:line="560" w:lineRule="exact"/>
        <w:ind w:firstLine="420" w:firstLineChars="200"/>
        <w:jc w:val="left"/>
        <w:outlineLvl w:val="0"/>
      </w:pPr>
    </w:p>
    <w:p>
      <w:pPr>
        <w:adjustRightInd w:val="0"/>
        <w:snapToGrid w:val="0"/>
        <w:spacing w:line="560" w:lineRule="exact"/>
        <w:jc w:val="center"/>
        <w:outlineLvl w:val="0"/>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公司债券存续期监管简化安排涉及规则</w:t>
      </w:r>
    </w:p>
    <w:p>
      <w:pPr>
        <w:adjustRightInd w:val="0"/>
        <w:snapToGrid w:val="0"/>
        <w:spacing w:line="560" w:lineRule="exact"/>
        <w:ind w:firstLine="420" w:firstLineChars="200"/>
        <w:jc w:val="left"/>
        <w:outlineLvl w:val="0"/>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2180"/>
        <w:gridCol w:w="5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blHeader/>
          <w:jc w:val="center"/>
        </w:trPr>
        <w:tc>
          <w:tcPr>
            <w:tcW w:w="747" w:type="dxa"/>
            <w:vAlign w:val="center"/>
          </w:tcPr>
          <w:p>
            <w:pPr>
              <w:adjustRightInd w:val="0"/>
              <w:snapToGrid w:val="0"/>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简化安排</w:t>
            </w:r>
          </w:p>
        </w:tc>
        <w:tc>
          <w:tcPr>
            <w:tcW w:w="2180" w:type="dxa"/>
            <w:vAlign w:val="center"/>
          </w:tcPr>
          <w:p>
            <w:pPr>
              <w:adjustRightInd w:val="0"/>
              <w:snapToGrid w:val="0"/>
              <w:jc w:val="center"/>
              <w:rPr>
                <w:rFonts w:ascii="仿宋_GB2312" w:hAnsi="黑体" w:eastAsia="仿宋_GB2312" w:cs="Times New Roman"/>
                <w:szCs w:val="21"/>
              </w:rPr>
            </w:pPr>
            <w:r>
              <w:rPr>
                <w:rFonts w:hint="eastAsia" w:ascii="仿宋_GB2312" w:hAnsi="宋体" w:eastAsia="仿宋_GB2312" w:cs="宋体"/>
                <w:b/>
                <w:bCs/>
                <w:color w:val="000000"/>
                <w:kern w:val="0"/>
                <w:szCs w:val="21"/>
              </w:rPr>
              <w:t>规则及条款号</w:t>
            </w:r>
          </w:p>
        </w:tc>
        <w:tc>
          <w:tcPr>
            <w:tcW w:w="5595" w:type="dxa"/>
            <w:vAlign w:val="center"/>
          </w:tcPr>
          <w:p>
            <w:pPr>
              <w:adjustRightInd w:val="0"/>
              <w:snapToGrid w:val="0"/>
              <w:jc w:val="center"/>
              <w:rPr>
                <w:rFonts w:ascii="仿宋_GB2312" w:hAnsi="黑体" w:eastAsia="仿宋_GB2312" w:cs="Times New Roman"/>
                <w:szCs w:val="21"/>
              </w:rPr>
            </w:pPr>
            <w:r>
              <w:rPr>
                <w:rFonts w:hint="eastAsia" w:ascii="仿宋_GB2312" w:hAnsi="宋体" w:eastAsia="仿宋_GB2312" w:cs="宋体"/>
                <w:b/>
                <w:bCs/>
                <w:color w:val="000000"/>
                <w:kern w:val="0"/>
                <w:szCs w:val="21"/>
              </w:rPr>
              <w:t>规则具体要求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restart"/>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索引式披露</w:t>
            </w: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《上海证券交易所债券自律监管规则适用指引第1号——公司债券持续信息披露（2023年10月修订）》（以下简称《持续信息披露指引》）第3.3.4条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发行人应当披露报告期内发行人合并报表业务范围、主要产品或者服务及其经营模式、主营业务开展情况、业务发展目标、行业状况、行业地位以及面临的主要竞争状况，重点突出报告期内发生的重大变化以及有关变化对公司经营情况和偿债能力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《持续信息披露指引》第3.3.5条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发行人应当根据自身实际情况，在定期报告中按照业务板块说明报告期内合并报表范围营业收入、成本金额及其构成比例，以及收入、成本较上年同期的变动情况。</w:t>
            </w:r>
          </w:p>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发行人应当在年度报告中披露占发行人合并报表范围营业收入或毛利润10%以上，或者营业收入或者毛利润占比最高的产业类产品或服务的经营情况，说明相关产品或服务所属业务板块，收入、成本金额及其构成比例，以及收入、成本较上年同期的变动情况。</w:t>
            </w:r>
          </w:p>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相关收入、成本等指标同比变动达30%以上的，发行人还应当结合所属行业整体情况、经营模式、业务开展实际情况等，进一步说明相关变动背后的经营原因及其合理性。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《持续信息披露指引》第3.3.6条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报告期内发行人合并报表范围新增收入或者利润占发行人合并报表相应数据10%以上业务板块的，发行人应当在年度报告中披露该业务板块的经营情况、主要产品及与原业务的关联性等情况。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《持续信息披露指引》第3.4.5条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报告期内资信评级机构对发行人或者公司信用类债券作出评级调整的，发行人应当披露评级机构名称、受评对象、评级调整时间、调整前后的评级结果以及评级调整的原因等。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《持续信息披露指引》第3.5.3条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内发行人合并报表范围发生重大变化，新增或者减少的子公司的收入、利润、总资产或者净资产占发行人合并报表相应数据10%以上的，发行人应当披露变化原因、纳入或者移出合并报表范围的子公司的经营和财务状况，以及相关事项对公司生产经营和偿债能力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restart"/>
            <w:vAlign w:val="center"/>
          </w:tcPr>
          <w:p>
            <w:pPr>
              <w:adjustRightInd w:val="0"/>
              <w:snapToGrid w:val="0"/>
              <w:rPr>
                <w:rFonts w:ascii="仿宋_GB2312" w:hAnsi="黑体" w:eastAsia="仿宋_GB2312" w:cs="Times New Roman"/>
                <w:szCs w:val="21"/>
              </w:rPr>
            </w:pPr>
            <w:r>
              <w:rPr>
                <w:rFonts w:ascii="仿宋_GB2312" w:hAnsi="黑体" w:eastAsia="仿宋_GB2312" w:cs="Times New Roman"/>
                <w:szCs w:val="21"/>
              </w:rPr>
              <w:t>半年度财务数据</w:t>
            </w:r>
            <w:r>
              <w:rPr>
                <w:rFonts w:hint="eastAsia" w:ascii="仿宋_GB2312" w:hAnsi="黑体" w:eastAsia="仿宋_GB2312" w:cs="Times New Roman"/>
                <w:szCs w:val="21"/>
              </w:rPr>
              <w:t>简化要求</w:t>
            </w: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《持续信息披露指引》第3.5.4条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发行人应当在定期报告中披露报告期末占发行人合并报表范围总资产10%以上的资产类报表项目的项目名称和主要构成。</w:t>
            </w:r>
          </w:p>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报告期末发行人合并报表范围主要资产项目同比变动超过30%的，发行人应当披露项目名称、变动比例及原因。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《持续信息披露指引》第3.5.6条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发行人应当披露报告期内合并报表范围未收回的非经营性往来占款和资金拆借的期初余额、期末余额，说明报告期内非经营性往来占款或者资金拆借情形是否符合相关约定或者承诺。</w:t>
            </w:r>
          </w:p>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报告期末合并报表范围未收回的非经营性往来占款和资金拆借余额超过发行人合并报表范围净资产1</w:t>
            </w:r>
            <w:r>
              <w:rPr>
                <w:rFonts w:ascii="仿宋_GB2312" w:hAnsi="黑体" w:eastAsia="仿宋_GB2312" w:cs="Times New Roman"/>
                <w:szCs w:val="21"/>
              </w:rPr>
              <w:t>0</w:t>
            </w:r>
            <w:r>
              <w:rPr>
                <w:rFonts w:hint="eastAsia" w:ascii="仿宋_GB2312" w:hAnsi="黑体" w:eastAsia="仿宋_GB2312" w:cs="Times New Roman"/>
                <w:szCs w:val="21"/>
              </w:rPr>
              <w:t>%的，发行人应当披露非经营性往来占款和资金拆借的金额、主要构成、形成原因、账龄结构和回款相关安排</w:t>
            </w:r>
            <w:r>
              <w:rPr>
                <w:rFonts w:ascii="仿宋_GB2312" w:hAnsi="黑体" w:eastAsia="仿宋_GB2312" w:cs="Times New Roman"/>
                <w:szCs w:val="21"/>
              </w:rPr>
              <w:t>，</w:t>
            </w:r>
            <w:r>
              <w:rPr>
                <w:rFonts w:hint="eastAsia" w:ascii="仿宋_GB2312" w:hAnsi="黑体" w:eastAsia="仿宋_GB2312" w:cs="Times New Roman"/>
                <w:szCs w:val="21"/>
              </w:rPr>
              <w:t>并</w:t>
            </w:r>
            <w:r>
              <w:rPr>
                <w:rFonts w:ascii="仿宋_GB2312" w:hAnsi="黑体" w:eastAsia="仿宋_GB2312" w:cs="Times New Roman"/>
                <w:szCs w:val="21"/>
              </w:rPr>
              <w:t>说明</w:t>
            </w:r>
            <w:r>
              <w:rPr>
                <w:rFonts w:hint="eastAsia" w:ascii="仿宋_GB2312" w:hAnsi="黑体" w:eastAsia="仿宋_GB2312" w:cs="Times New Roman"/>
                <w:szCs w:val="21"/>
              </w:rPr>
              <w:t>截至报告</w:t>
            </w:r>
            <w:r>
              <w:rPr>
                <w:rFonts w:ascii="仿宋_GB2312" w:hAnsi="黑体" w:eastAsia="仿宋_GB2312" w:cs="Times New Roman"/>
                <w:szCs w:val="21"/>
              </w:rPr>
              <w:t>期末占款和拆借</w:t>
            </w:r>
            <w:r>
              <w:rPr>
                <w:rFonts w:hint="eastAsia" w:ascii="仿宋_GB2312" w:hAnsi="黑体" w:eastAsia="仿宋_GB2312" w:cs="Times New Roman"/>
                <w:szCs w:val="21"/>
              </w:rPr>
              <w:t>余</w:t>
            </w:r>
            <w:r>
              <w:rPr>
                <w:rFonts w:ascii="仿宋_GB2312" w:hAnsi="黑体" w:eastAsia="仿宋_GB2312" w:cs="Times New Roman"/>
                <w:szCs w:val="21"/>
              </w:rPr>
              <w:t>额</w:t>
            </w:r>
            <w:r>
              <w:rPr>
                <w:rFonts w:hint="eastAsia" w:ascii="仿宋_GB2312" w:hAnsi="黑体" w:eastAsia="仿宋_GB2312" w:cs="Times New Roman"/>
                <w:szCs w:val="21"/>
              </w:rPr>
              <w:t>合计</w:t>
            </w:r>
            <w:r>
              <w:rPr>
                <w:rFonts w:ascii="仿宋_GB2312" w:hAnsi="黑体" w:eastAsia="仿宋_GB2312" w:cs="Times New Roman"/>
                <w:szCs w:val="21"/>
              </w:rPr>
              <w:t>前5</w:t>
            </w:r>
            <w:r>
              <w:rPr>
                <w:rFonts w:hint="eastAsia" w:ascii="仿宋_GB2312" w:hAnsi="黑体" w:eastAsia="仿宋_GB2312" w:cs="Times New Roman"/>
                <w:szCs w:val="21"/>
              </w:rPr>
              <w:t>名的</w:t>
            </w:r>
            <w:r>
              <w:rPr>
                <w:rFonts w:ascii="仿宋_GB2312" w:hAnsi="黑体" w:eastAsia="仿宋_GB2312" w:cs="Times New Roman"/>
                <w:szCs w:val="21"/>
              </w:rPr>
              <w:t>债务</w:t>
            </w:r>
            <w:r>
              <w:rPr>
                <w:rFonts w:hint="eastAsia" w:ascii="仿宋_GB2312" w:hAnsi="黑体" w:eastAsia="仿宋_GB2312" w:cs="Times New Roman"/>
                <w:szCs w:val="21"/>
              </w:rPr>
              <w:t>人</w:t>
            </w:r>
            <w:r>
              <w:rPr>
                <w:rFonts w:ascii="仿宋_GB2312" w:hAnsi="黑体" w:eastAsia="仿宋_GB2312" w:cs="Times New Roman"/>
                <w:szCs w:val="21"/>
              </w:rPr>
              <w:t>名称、资信状况</w:t>
            </w:r>
            <w:r>
              <w:rPr>
                <w:rFonts w:hint="eastAsia" w:ascii="仿宋_GB2312" w:hAnsi="黑体" w:eastAsia="仿宋_GB2312" w:cs="Times New Roman"/>
                <w:szCs w:val="21"/>
              </w:rPr>
              <w:t>、占款和拆借</w:t>
            </w:r>
            <w:r>
              <w:rPr>
                <w:rFonts w:ascii="仿宋_GB2312" w:hAnsi="黑体" w:eastAsia="仿宋_GB2312" w:cs="Times New Roman"/>
                <w:szCs w:val="21"/>
              </w:rPr>
              <w:t>报告期</w:t>
            </w:r>
            <w:r>
              <w:rPr>
                <w:rFonts w:hint="eastAsia" w:ascii="仿宋_GB2312" w:hAnsi="黑体" w:eastAsia="仿宋_GB2312" w:cs="Times New Roman"/>
                <w:szCs w:val="21"/>
              </w:rPr>
              <w:t>内</w:t>
            </w:r>
            <w:r>
              <w:rPr>
                <w:rFonts w:ascii="仿宋_GB2312" w:hAnsi="黑体" w:eastAsia="仿宋_GB2312" w:cs="Times New Roman"/>
                <w:szCs w:val="21"/>
              </w:rPr>
              <w:t>发生额</w:t>
            </w:r>
            <w:r>
              <w:rPr>
                <w:rFonts w:hint="eastAsia" w:ascii="仿宋_GB2312" w:hAnsi="黑体" w:eastAsia="仿宋_GB2312" w:cs="Times New Roman"/>
                <w:szCs w:val="21"/>
              </w:rPr>
              <w:t>、报告</w:t>
            </w:r>
            <w:r>
              <w:rPr>
                <w:rFonts w:ascii="仿宋_GB2312" w:hAnsi="黑体" w:eastAsia="仿宋_GB2312" w:cs="Times New Roman"/>
                <w:szCs w:val="21"/>
              </w:rPr>
              <w:t>期末</w:t>
            </w:r>
            <w:r>
              <w:rPr>
                <w:rFonts w:hint="eastAsia" w:ascii="仿宋_GB2312" w:hAnsi="黑体" w:eastAsia="仿宋_GB2312" w:cs="Times New Roman"/>
                <w:szCs w:val="21"/>
              </w:rPr>
              <w:t>未收回</w:t>
            </w:r>
            <w:r>
              <w:rPr>
                <w:rFonts w:ascii="仿宋_GB2312" w:hAnsi="黑体" w:eastAsia="仿宋_GB2312" w:cs="Times New Roman"/>
                <w:szCs w:val="21"/>
              </w:rPr>
              <w:t>金额、</w:t>
            </w:r>
            <w:r>
              <w:rPr>
                <w:rFonts w:hint="eastAsia" w:ascii="仿宋_GB2312" w:hAnsi="黑体" w:eastAsia="仿宋_GB2312" w:cs="Times New Roman"/>
                <w:szCs w:val="21"/>
              </w:rPr>
              <w:t>未收回</w:t>
            </w:r>
            <w:r>
              <w:rPr>
                <w:rFonts w:ascii="仿宋_GB2312" w:hAnsi="黑体" w:eastAsia="仿宋_GB2312" w:cs="Times New Roman"/>
                <w:szCs w:val="21"/>
              </w:rPr>
              <w:t>原因</w:t>
            </w:r>
            <w:r>
              <w:rPr>
                <w:rFonts w:hint="eastAsia" w:ascii="仿宋_GB2312" w:hAnsi="黑体" w:eastAsia="仿宋_GB2312" w:cs="Times New Roman"/>
                <w:szCs w:val="21"/>
              </w:rPr>
              <w:t>及未来</w:t>
            </w:r>
            <w:r>
              <w:rPr>
                <w:rFonts w:ascii="仿宋_GB2312" w:hAnsi="黑体" w:eastAsia="仿宋_GB2312" w:cs="Times New Roman"/>
                <w:szCs w:val="21"/>
              </w:rPr>
              <w:t>回款安排</w:t>
            </w:r>
            <w:r>
              <w:rPr>
                <w:rFonts w:hint="eastAsia" w:ascii="仿宋_GB2312" w:hAnsi="黑体" w:eastAsia="仿宋_GB2312" w:cs="Times New Roman"/>
                <w:szCs w:val="21"/>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《持续信息披露指引》第3.5.7条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发行人应当披露报告期末</w:t>
            </w:r>
            <w:r>
              <w:rPr>
                <w:rFonts w:ascii="仿宋_GB2312" w:hAnsi="黑体" w:eastAsia="仿宋_GB2312" w:cs="Times New Roman"/>
                <w:szCs w:val="21"/>
              </w:rPr>
              <w:t>发行人及其</w:t>
            </w:r>
            <w:r>
              <w:rPr>
                <w:rFonts w:hint="eastAsia" w:ascii="仿宋_GB2312" w:hAnsi="黑体" w:eastAsia="仿宋_GB2312" w:cs="Times New Roman"/>
                <w:szCs w:val="21"/>
              </w:rPr>
              <w:t>合并报表范围有息债务总额及其同比变动、</w:t>
            </w:r>
            <w:r>
              <w:rPr>
                <w:rFonts w:ascii="仿宋_GB2312" w:hAnsi="黑体" w:eastAsia="仿宋_GB2312" w:cs="Times New Roman"/>
                <w:szCs w:val="21"/>
              </w:rPr>
              <w:t>有息</w:t>
            </w:r>
            <w:r>
              <w:rPr>
                <w:rFonts w:hint="eastAsia" w:ascii="仿宋_GB2312" w:hAnsi="黑体" w:eastAsia="仿宋_GB2312" w:cs="Times New Roman"/>
                <w:szCs w:val="21"/>
              </w:rPr>
              <w:t>债务</w:t>
            </w:r>
            <w:r>
              <w:rPr>
                <w:rFonts w:ascii="仿宋_GB2312" w:hAnsi="黑体" w:eastAsia="仿宋_GB2312" w:cs="Times New Roman"/>
                <w:szCs w:val="21"/>
              </w:rPr>
              <w:t>种类和期限结构</w:t>
            </w:r>
            <w:r>
              <w:rPr>
                <w:rFonts w:hint="eastAsia" w:ascii="仿宋_GB2312" w:hAnsi="黑体" w:eastAsia="仿宋_GB2312" w:cs="Times New Roman"/>
                <w:szCs w:val="21"/>
              </w:rPr>
              <w:t>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《持续信息披露指引》第3.5.9条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报告期末发行人及其合并报表范围主要负债项目同比变动超过30%的，应当披露项目名称、变动比例及原因。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《持续信息披露指引》第3.5.10条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报告期末发行人及其合并报表范围内存在可对抗第三人的优先偿付负债的，发行人应当披露负债的发生原因、金额、到期时间以及对发行人偿债能力可能产生的影响。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《持续信息披露指引》第3.5.11条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报告期内发行人合并报表范围利润主要源自非主要经营业务的，发行人应当详细说明涉及金额、形成原因、是否具有可持续性等情况。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《持续信息披露指引》第3.5.12条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单个子公司的净利润或者单个参股公司的投资收益对发行人合并报表范围净利润的影响达到20%以上的，发行人应当披露公司名称、与发行人的关系、发行人持股比例，该公司主营业务经营情况及总资产、净资产、主营业务收入、主营业务利润等财务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9" w:hRule="atLeast"/>
          <w:jc w:val="center"/>
        </w:trPr>
        <w:tc>
          <w:tcPr>
            <w:tcW w:w="747" w:type="dxa"/>
            <w:vMerge w:val="continue"/>
            <w:vAlign w:val="center"/>
          </w:tcPr>
          <w:p>
            <w:pPr>
              <w:adjustRightInd w:val="0"/>
              <w:snapToGrid w:val="0"/>
              <w:rPr>
                <w:rFonts w:ascii="仿宋_GB2312" w:hAnsi="黑体" w:eastAsia="仿宋_GB2312" w:cs="Times New Roman"/>
                <w:szCs w:val="21"/>
              </w:rPr>
            </w:pPr>
          </w:p>
        </w:tc>
        <w:tc>
          <w:tcPr>
            <w:tcW w:w="2180"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《持续信息披露指引》第3.5.13条</w:t>
            </w:r>
          </w:p>
        </w:tc>
        <w:tc>
          <w:tcPr>
            <w:tcW w:w="5595" w:type="dxa"/>
            <w:vAlign w:val="center"/>
          </w:tcPr>
          <w:p>
            <w:pPr>
              <w:adjustRightInd w:val="0"/>
              <w:snapToGrid w:val="0"/>
              <w:rPr>
                <w:rFonts w:ascii="仿宋_GB2312" w:hAnsi="黑体" w:eastAsia="仿宋_GB2312" w:cs="Times New Roman"/>
                <w:szCs w:val="21"/>
              </w:rPr>
            </w:pPr>
            <w:r>
              <w:rPr>
                <w:rFonts w:hint="eastAsia" w:ascii="仿宋_GB2312" w:hAnsi="黑体" w:eastAsia="仿宋_GB2312" w:cs="Times New Roman"/>
                <w:szCs w:val="21"/>
              </w:rPr>
              <w:t>报告期内发行人合并报表范围亏损超过合并报表范围上年末净资产10%的，发行人应当披露亏损情况、亏损原因以及对公司生产经营和偿债能力的影响。</w:t>
            </w:r>
          </w:p>
        </w:tc>
      </w:tr>
    </w:tbl>
    <w:p>
      <w:pPr>
        <w:spacing w:line="600" w:lineRule="exact"/>
        <w:ind w:firstLine="600" w:firstLineChars="200"/>
        <w:contextualSpacing/>
        <w:rPr>
          <w:rFonts w:ascii="仿宋_GB2312" w:hAnsi="Times New Roman" w:eastAsia="仿宋_GB2312"/>
          <w:color w:val="000000"/>
          <w:kern w:val="0"/>
          <w:sz w:val="30"/>
          <w:szCs w:val="30"/>
          <w:lang w:bidi="en-US"/>
        </w:rPr>
      </w:pPr>
    </w:p>
    <w:p>
      <w:pPr>
        <w:widowControl/>
        <w:jc w:val="left"/>
        <w:rPr>
          <w:rFonts w:ascii="仿宋_GB2312" w:hAnsi="Times New Roman" w:eastAsia="仿宋_GB2312"/>
          <w:color w:val="000000"/>
          <w:kern w:val="0"/>
          <w:sz w:val="30"/>
          <w:szCs w:val="30"/>
          <w:lang w:bidi="en-US"/>
        </w:rPr>
      </w:pPr>
    </w:p>
    <w:p>
      <w:pPr>
        <w:widowControl/>
        <w:jc w:val="left"/>
        <w:rPr>
          <w:rFonts w:ascii="仿宋_GB2312" w:eastAsia="仿宋_GB2312"/>
          <w:b/>
          <w:kern w:val="0"/>
          <w:sz w:val="30"/>
          <w:lang w:bidi="en-US"/>
        </w:rPr>
      </w:pPr>
      <w:r>
        <w:rPr>
          <w:rFonts w:ascii="仿宋_GB2312" w:eastAsia="仿宋_GB2312"/>
          <w:b/>
          <w:kern w:val="0"/>
          <w:sz w:val="30"/>
          <w:lang w:bidi="en-US"/>
        </w:rPr>
        <w:br w:type="page"/>
      </w:r>
    </w:p>
    <w:p>
      <w:pPr>
        <w:adjustRightInd w:val="0"/>
        <w:snapToGrid w:val="0"/>
        <w:spacing w:line="560" w:lineRule="exact"/>
        <w:jc w:val="left"/>
        <w:outlineLvl w:val="0"/>
        <w:rPr>
          <w:rFonts w:ascii="黑体" w:hAnsi="黑体" w:eastAsia="黑体"/>
          <w:bCs/>
          <w:color w:val="000000"/>
          <w:kern w:val="0"/>
          <w:sz w:val="32"/>
          <w:szCs w:val="30"/>
          <w:lang w:bidi="en-US"/>
        </w:rPr>
      </w:pPr>
      <w:r>
        <w:rPr>
          <w:rFonts w:hint="eastAsia" w:ascii="黑体" w:hAnsi="黑体" w:eastAsia="黑体"/>
          <w:bCs/>
          <w:color w:val="000000"/>
          <w:kern w:val="0"/>
          <w:sz w:val="32"/>
          <w:szCs w:val="30"/>
          <w:lang w:bidi="en-US"/>
        </w:rPr>
        <w:t>附件</w:t>
      </w:r>
      <w:r>
        <w:rPr>
          <w:rFonts w:ascii="黑体" w:hAnsi="黑体" w:eastAsia="黑体"/>
          <w:bCs/>
          <w:color w:val="000000"/>
          <w:kern w:val="0"/>
          <w:sz w:val="32"/>
          <w:szCs w:val="30"/>
          <w:lang w:bidi="en-US"/>
        </w:rPr>
        <w:t xml:space="preserve">8 </w:t>
      </w:r>
    </w:p>
    <w:p>
      <w:pPr>
        <w:widowControl/>
        <w:jc w:val="left"/>
        <w:rPr>
          <w:rFonts w:ascii="仿宋_GB2312" w:hAnsi="黑体" w:eastAsia="仿宋_GB2312"/>
          <w:b/>
          <w:sz w:val="30"/>
          <w:szCs w:val="30"/>
        </w:rPr>
      </w:pPr>
    </w:p>
    <w:p>
      <w:pPr>
        <w:adjustRightInd w:val="0"/>
        <w:snapToGrid w:val="0"/>
        <w:spacing w:line="560" w:lineRule="exact"/>
        <w:jc w:val="center"/>
        <w:outlineLvl w:val="0"/>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资产支持证券优质发起人简要披露</w:t>
      </w:r>
    </w:p>
    <w:p>
      <w:pPr>
        <w:adjustRightInd w:val="0"/>
        <w:snapToGrid w:val="0"/>
        <w:spacing w:line="560" w:lineRule="exact"/>
        <w:jc w:val="center"/>
        <w:outlineLvl w:val="0"/>
        <w:rPr>
          <w:rFonts w:ascii="方正大标宋简体" w:hAnsi="方正大标宋简体" w:eastAsia="方正大标宋简体"/>
          <w:sz w:val="44"/>
          <w:szCs w:val="44"/>
        </w:rPr>
      </w:pPr>
      <w:r>
        <w:rPr>
          <w:rFonts w:hint="eastAsia" w:ascii="方正大标宋简体" w:hAnsi="方正大标宋简体" w:eastAsia="方正大标宋简体"/>
          <w:sz w:val="44"/>
          <w:szCs w:val="44"/>
        </w:rPr>
        <w:t>参考文本</w:t>
      </w:r>
    </w:p>
    <w:p>
      <w:pPr>
        <w:widowControl/>
        <w:jc w:val="left"/>
        <w:rPr>
          <w:rFonts w:ascii="仿宋_GB2312" w:hAnsi="黑体" w:eastAsia="仿宋_GB2312"/>
          <w:b/>
          <w:sz w:val="30"/>
          <w:szCs w:val="30"/>
        </w:rPr>
      </w:pPr>
    </w:p>
    <w:p>
      <w:pPr>
        <w:widowControl/>
        <w:spacing w:line="560" w:lineRule="exact"/>
        <w:jc w:val="center"/>
        <w:rPr>
          <w:rFonts w:ascii="黑体" w:hAnsi="黑体" w:eastAsia="黑体"/>
          <w:b/>
          <w:sz w:val="36"/>
          <w:szCs w:val="36"/>
        </w:rPr>
      </w:pPr>
      <w:r>
        <w:rPr>
          <w:rFonts w:ascii="黑体" w:hAnsi="黑体" w:eastAsia="黑体"/>
          <w:b/>
          <w:sz w:val="36"/>
          <w:szCs w:val="36"/>
        </w:rPr>
        <w:t>特定原始权益人、管理人和其他主要业务参与人情况</w:t>
      </w:r>
    </w:p>
    <w:p>
      <w:pPr>
        <w:widowControl/>
        <w:spacing w:line="560" w:lineRule="exact"/>
        <w:jc w:val="center"/>
        <w:rPr>
          <w:rFonts w:ascii="黑体" w:hAnsi="黑体" w:eastAsia="黑体"/>
          <w:b/>
          <w:sz w:val="44"/>
          <w:szCs w:val="44"/>
        </w:rPr>
      </w:pP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【填写说明：附件</w:t>
      </w:r>
      <w:r>
        <w:rPr>
          <w:rFonts w:ascii="仿宋_GB2312" w:hAnsi="仿宋" w:eastAsia="仿宋_GB2312" w:cs="Times New Roman"/>
          <w:bCs/>
          <w:color w:val="000000" w:themeColor="text1"/>
          <w:sz w:val="32"/>
          <w:szCs w:val="32"/>
        </w:rPr>
        <w:t>8仅是对本指南规定的简要披露部分进行范例说明，本指南未规定的内容，计划管理人应结合相关法律法规、规范性文件等规定有针对性、详略适当地披露企业基本情况。】</w:t>
      </w:r>
    </w:p>
    <w:p>
      <w:pPr>
        <w:pStyle w:val="27"/>
        <w:spacing w:line="560" w:lineRule="exact"/>
        <w:ind w:firstLine="643"/>
        <w:rPr>
          <w:sz w:val="32"/>
          <w:szCs w:val="32"/>
        </w:rPr>
      </w:pPr>
      <w:r>
        <w:rPr>
          <w:rFonts w:hint="eastAsia"/>
          <w:sz w:val="32"/>
          <w:szCs w:val="32"/>
        </w:rPr>
        <w:t>一、原始权益人情况</w:t>
      </w:r>
    </w:p>
    <w:p>
      <w:pPr>
        <w:pStyle w:val="27"/>
        <w:spacing w:line="560" w:lineRule="exact"/>
        <w:ind w:firstLine="643"/>
        <w:rPr>
          <w:sz w:val="32"/>
          <w:szCs w:val="32"/>
        </w:rPr>
      </w:pPr>
      <w:r>
        <w:rPr>
          <w:rFonts w:hint="eastAsia"/>
          <w:sz w:val="32"/>
          <w:szCs w:val="32"/>
        </w:rPr>
        <w:t>（一）原始权益人基本情况</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3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公司名称</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股票代码（如有）</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资信评级情况</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法定代表人</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注册资本及实缴资本</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 w:val="18"/>
                <w:szCs w:val="21"/>
                <w:lang w:bidi="en-US"/>
              </w:rPr>
            </w:pPr>
            <w:r>
              <w:rPr>
                <w:rFonts w:hint="eastAsia" w:ascii="仿宋_GB2312" w:eastAsia="仿宋_GB2312"/>
                <w:kern w:val="0"/>
                <w:szCs w:val="21"/>
                <w:lang w:bidi="en-US"/>
              </w:rPr>
              <w:t>设立日期</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 w:val="18"/>
                <w:szCs w:val="21"/>
                <w:lang w:bidi="en-US"/>
              </w:rPr>
            </w:pPr>
            <w:r>
              <w:rPr>
                <w:rFonts w:hint="eastAsia" w:ascii="仿宋_GB2312" w:eastAsia="仿宋_GB2312"/>
                <w:kern w:val="0"/>
                <w:szCs w:val="21"/>
                <w:lang w:bidi="en-US"/>
              </w:rPr>
              <w:t>统一社会信用代码</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61" w:type="dxa"/>
            <w:vAlign w:val="center"/>
          </w:tcPr>
          <w:p>
            <w:pPr>
              <w:widowControl/>
              <w:adjustRightInd w:val="0"/>
              <w:snapToGrid w:val="0"/>
              <w:rPr>
                <w:rFonts w:ascii="仿宋_GB2312" w:eastAsia="仿宋_GB2312"/>
                <w:kern w:val="0"/>
                <w:sz w:val="18"/>
                <w:szCs w:val="21"/>
                <w:lang w:bidi="en-US"/>
              </w:rPr>
            </w:pPr>
            <w:r>
              <w:rPr>
                <w:rFonts w:hint="eastAsia" w:ascii="仿宋_GB2312" w:eastAsia="仿宋_GB2312"/>
                <w:kern w:val="0"/>
                <w:szCs w:val="21"/>
                <w:lang w:bidi="en-US"/>
              </w:rPr>
              <w:t>住所</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 w:val="18"/>
                <w:szCs w:val="21"/>
                <w:lang w:bidi="en-US"/>
              </w:rPr>
            </w:pPr>
            <w:r>
              <w:rPr>
                <w:rFonts w:hint="eastAsia" w:ascii="仿宋_GB2312" w:eastAsia="仿宋_GB2312"/>
                <w:kern w:val="0"/>
                <w:szCs w:val="21"/>
                <w:lang w:bidi="en-US"/>
              </w:rPr>
              <w:t>所属行业</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 w:val="18"/>
                <w:szCs w:val="21"/>
                <w:lang w:bidi="en-US"/>
              </w:rPr>
            </w:pPr>
            <w:r>
              <w:rPr>
                <w:rFonts w:hint="eastAsia" w:ascii="仿宋_GB2312" w:eastAsia="仿宋_GB2312"/>
                <w:kern w:val="0"/>
                <w:szCs w:val="21"/>
                <w:lang w:bidi="en-US"/>
              </w:rPr>
              <w:t>经营范围</w:t>
            </w:r>
          </w:p>
        </w:tc>
        <w:tc>
          <w:tcPr>
            <w:tcW w:w="3785" w:type="dxa"/>
            <w:vAlign w:val="center"/>
          </w:tcPr>
          <w:p>
            <w:pPr>
              <w:pStyle w:val="27"/>
              <w:spacing w:line="240" w:lineRule="auto"/>
              <w:ind w:firstLine="0" w:firstLineChars="0"/>
              <w:rPr>
                <w:b w:val="0"/>
                <w:sz w:val="21"/>
                <w:szCs w:val="21"/>
              </w:rPr>
            </w:pPr>
          </w:p>
        </w:tc>
      </w:tr>
    </w:tbl>
    <w:p>
      <w:pPr>
        <w:pStyle w:val="27"/>
        <w:spacing w:line="560" w:lineRule="exact"/>
        <w:ind w:firstLine="643"/>
        <w:rPr>
          <w:sz w:val="32"/>
          <w:szCs w:val="32"/>
        </w:rPr>
      </w:pPr>
      <w:r>
        <w:rPr>
          <w:rFonts w:hint="eastAsia"/>
          <w:sz w:val="32"/>
          <w:szCs w:val="32"/>
        </w:rPr>
        <w:t>（二）原始权益人内外部决策程序履行情况</w:t>
      </w:r>
    </w:p>
    <w:p>
      <w:pPr>
        <w:pStyle w:val="27"/>
        <w:spacing w:line="560" w:lineRule="exact"/>
        <w:ind w:firstLine="640"/>
        <w:rPr>
          <w:b w:val="0"/>
          <w:sz w:val="32"/>
          <w:szCs w:val="32"/>
        </w:rPr>
      </w:pPr>
      <w:r>
        <w:rPr>
          <w:rFonts w:hint="eastAsia"/>
          <w:b w:val="0"/>
          <w:sz w:val="32"/>
          <w:szCs w:val="32"/>
        </w:rPr>
        <w:t>披露原始权益人有权机构、相关主管部门（如需）对其开展本次资产证券化融资事宜的批准情况。</w:t>
      </w:r>
    </w:p>
    <w:p>
      <w:pPr>
        <w:pStyle w:val="27"/>
        <w:spacing w:line="560" w:lineRule="exact"/>
        <w:ind w:firstLine="643"/>
        <w:rPr>
          <w:sz w:val="32"/>
          <w:szCs w:val="32"/>
        </w:rPr>
      </w:pPr>
      <w:r>
        <w:rPr>
          <w:rFonts w:hint="eastAsia"/>
          <w:sz w:val="32"/>
          <w:szCs w:val="32"/>
        </w:rPr>
        <w:t>（三）原始权益人合规核查情况</w:t>
      </w:r>
    </w:p>
    <w:tbl>
      <w:tblPr>
        <w:tblStyle w:val="11"/>
        <w:tblW w:w="9923"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5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5"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原始权益人是否符合《</w:t>
            </w:r>
            <w:r>
              <w:rPr>
                <w:rFonts w:hint="eastAsia" w:ascii="仿宋_GB2312" w:hAnsi="黑体" w:eastAsia="仿宋_GB2312"/>
                <w:szCs w:val="21"/>
              </w:rPr>
              <w:t>资产支持证券指引第2号</w:t>
            </w:r>
            <w:r>
              <w:rPr>
                <w:rFonts w:hint="eastAsia" w:ascii="仿宋_GB2312" w:eastAsia="仿宋_GB2312"/>
                <w:kern w:val="0"/>
                <w:szCs w:val="21"/>
                <w:lang w:bidi="en-US"/>
              </w:rPr>
              <w:t>》第2.4.1条的规定</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原始权益人开展业务应当合法合规、满足主管部门监管要求，取得相关经营许可或经营资质，最近两年不存在因严重违法失信行为被有权部门认定为失信被执行人、失信生产经营单位或者其他失信单位，并被暂停或限制进行融资的情形。</w:t>
            </w:r>
          </w:p>
        </w:tc>
        <w:tc>
          <w:tcPr>
            <w:tcW w:w="2268" w:type="dxa"/>
          </w:tcPr>
          <w:p>
            <w:pPr>
              <w:pStyle w:val="27"/>
              <w:spacing w:line="240" w:lineRule="auto"/>
              <w:ind w:firstLine="0" w:firstLineChars="0"/>
              <w:rPr>
                <w:b w:val="0"/>
                <w:sz w:val="21"/>
                <w:szCs w:val="21"/>
              </w:rPr>
            </w:pPr>
            <w:r>
              <w:rPr>
                <w:rFonts w:hint="eastAsia"/>
                <w:b w:val="0"/>
                <w:sz w:val="21"/>
                <w:szCs w:val="21"/>
              </w:rPr>
              <w:t>是/</w:t>
            </w:r>
          </w:p>
          <w:p>
            <w:pPr>
              <w:pStyle w:val="27"/>
              <w:spacing w:line="240" w:lineRule="auto"/>
              <w:ind w:firstLine="0" w:firstLineChars="0"/>
              <w:rPr>
                <w:b w:val="0"/>
                <w:sz w:val="21"/>
                <w:szCs w:val="21"/>
              </w:rPr>
            </w:pPr>
            <w:r>
              <w:rPr>
                <w:rFonts w:hint="eastAsia"/>
                <w:b w:val="0"/>
                <w:sz w:val="21"/>
                <w:szCs w:val="21"/>
              </w:rPr>
              <w:t>否，请说明具体情况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5"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按照《</w:t>
            </w:r>
            <w:r>
              <w:rPr>
                <w:rFonts w:hint="eastAsia" w:ascii="仿宋_GB2312" w:hAnsi="黑体" w:eastAsia="仿宋_GB2312"/>
                <w:szCs w:val="21"/>
              </w:rPr>
              <w:t>资产支持证券指引第2号</w:t>
            </w:r>
            <w:r>
              <w:rPr>
                <w:rFonts w:hint="eastAsia" w:ascii="仿宋_GB2312" w:eastAsia="仿宋_GB2312"/>
                <w:kern w:val="0"/>
                <w:szCs w:val="21"/>
                <w:lang w:bidi="en-US"/>
              </w:rPr>
              <w:t>》第2.4.2条明确是否为特定原始权益人</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特定原始权益人，是指符合下列情形之一，且业务经营可能对专项计划以及资产支持证券投资者的利益产生重大影响的原始权益人：</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（一）与收取基础资产现金流权利相对应的义务尚未履行完毕；</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（二）专项计划设置循环购买安排，后续合格基础资产的产生依赖原始权益人持续生成；</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（三）基础资产现金流依赖原始权益人持续经营产生，或者原始权益人业务经营可能对专项计划及资产支持证券投资者利益产生重大影响的其他情形。</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管理人和律师应当结合原始权益人对基础资产及其现金流持续产生和破产隔离效果的影响，就其是否属于特定原始权益人进行核查并发表明确意见。</w:t>
            </w:r>
          </w:p>
        </w:tc>
        <w:tc>
          <w:tcPr>
            <w:tcW w:w="2268" w:type="dxa"/>
          </w:tcPr>
          <w:p>
            <w:pPr>
              <w:pStyle w:val="27"/>
              <w:spacing w:line="240" w:lineRule="auto"/>
              <w:ind w:firstLine="0" w:firstLineChars="0"/>
              <w:rPr>
                <w:b w:val="0"/>
                <w:sz w:val="21"/>
                <w:szCs w:val="21"/>
              </w:rPr>
            </w:pPr>
            <w:r>
              <w:rPr>
                <w:rFonts w:hint="eastAsia"/>
                <w:b w:val="0"/>
                <w:sz w:val="21"/>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5"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若为特定原始权益人，应当披露是否符合《</w:t>
            </w:r>
            <w:r>
              <w:rPr>
                <w:rFonts w:hint="eastAsia" w:ascii="仿宋_GB2312" w:hAnsi="黑体" w:eastAsia="仿宋_GB2312"/>
                <w:szCs w:val="21"/>
              </w:rPr>
              <w:t>资产支持证券指引第2号</w:t>
            </w:r>
            <w:r>
              <w:rPr>
                <w:rFonts w:hint="eastAsia" w:ascii="仿宋_GB2312" w:eastAsia="仿宋_GB2312"/>
                <w:kern w:val="0"/>
                <w:szCs w:val="21"/>
                <w:lang w:bidi="en-US"/>
              </w:rPr>
              <w:t>》第2.4.3条关于特定原始权益人要求</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特定原始权益人除应当符合原始权益人一般要求外，还应当符合下列条件：</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（一）生产经营符合法律、行政法规、特定原始权益人公司章程或者企业、事业单位内部规章文件的规定；</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（二）内部控制制度健全；</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（三）具有持续经营能力，无重大经营风险、财务风险和法律风险；</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（四）最近三年未发生重大违约、虚假信息披露或者其他重大违法违规行为；</w:t>
            </w:r>
          </w:p>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（五）法律法规、中国证监会和本所规定的其他条件。</w:t>
            </w:r>
          </w:p>
        </w:tc>
        <w:tc>
          <w:tcPr>
            <w:tcW w:w="2268" w:type="dxa"/>
          </w:tcPr>
          <w:p>
            <w:pPr>
              <w:pStyle w:val="27"/>
              <w:spacing w:line="240" w:lineRule="auto"/>
              <w:ind w:firstLine="0" w:firstLineChars="0"/>
              <w:rPr>
                <w:b w:val="0"/>
                <w:sz w:val="21"/>
                <w:szCs w:val="21"/>
              </w:rPr>
            </w:pPr>
            <w:r>
              <w:rPr>
                <w:rFonts w:hint="eastAsia"/>
                <w:b w:val="0"/>
                <w:sz w:val="21"/>
                <w:szCs w:val="21"/>
              </w:rPr>
              <w:t>请说明核查结论</w:t>
            </w:r>
          </w:p>
        </w:tc>
      </w:tr>
    </w:tbl>
    <w:p>
      <w:pPr>
        <w:pStyle w:val="27"/>
        <w:spacing w:line="560" w:lineRule="exact"/>
        <w:ind w:firstLine="643"/>
        <w:rPr>
          <w:sz w:val="32"/>
          <w:szCs w:val="32"/>
        </w:rPr>
      </w:pPr>
      <w:r>
        <w:rPr>
          <w:rFonts w:hint="eastAsia"/>
          <w:sz w:val="32"/>
          <w:szCs w:val="32"/>
        </w:rPr>
        <w:t>（四）特定原始权益人的历史沿革及重大资产重组情况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【填写说明：非特定原始权益人无需披露本部分内容】</w:t>
      </w:r>
    </w:p>
    <w:p>
      <w:pPr>
        <w:spacing w:line="560" w:lineRule="exact"/>
        <w:ind w:firstLine="642" w:firstLineChars="200"/>
        <w:contextualSpacing/>
        <w:rPr>
          <w:rFonts w:ascii="仿宋_GB2312" w:hAnsi="仿宋" w:eastAsia="仿宋_GB2312" w:cs="Times New Roman"/>
          <w:b/>
          <w:bCs/>
          <w:sz w:val="32"/>
          <w:szCs w:val="32"/>
        </w:rPr>
      </w:pPr>
      <w:r>
        <w:rPr>
          <w:rFonts w:ascii="仿宋_GB2312" w:hAnsi="仿宋" w:eastAsia="仿宋_GB2312" w:cs="Times New Roman"/>
          <w:b/>
          <w:bCs/>
          <w:sz w:val="32"/>
          <w:szCs w:val="32"/>
        </w:rPr>
        <w:t>1.特定原始权益人历史沿革</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【填写说明：存在对特定原始权益人偿债能力产生重大不利影响事件的，计划管理人应进行详细披露事件具体情况。</w:t>
      </w:r>
      <w:r>
        <w:rPr>
          <w:rFonts w:ascii="仿宋_GB2312" w:hAnsi="仿宋" w:eastAsia="仿宋_GB2312" w:cs="Times New Roman"/>
          <w:bCs/>
          <w:color w:val="000000" w:themeColor="text1"/>
          <w:sz w:val="32"/>
          <w:szCs w:val="32"/>
        </w:rPr>
        <w:t>其他历史沿革信息可以通过</w:t>
      </w:r>
      <w:r>
        <w:rPr>
          <w:rFonts w:hint="eastAsia" w:ascii="仿宋_GB2312" w:hAnsi="仿宋" w:eastAsia="仿宋_GB2312" w:cs="Times New Roman"/>
          <w:bCs/>
          <w:color w:val="000000" w:themeColor="text1"/>
          <w:sz w:val="32"/>
          <w:szCs w:val="32"/>
        </w:rPr>
        <w:t>以下</w:t>
      </w:r>
      <w:r>
        <w:rPr>
          <w:rFonts w:ascii="仿宋_GB2312" w:hAnsi="仿宋" w:eastAsia="仿宋_GB2312" w:cs="Times New Roman"/>
          <w:bCs/>
          <w:color w:val="000000" w:themeColor="text1"/>
          <w:sz w:val="32"/>
          <w:szCs w:val="32"/>
        </w:rPr>
        <w:t>表格列示</w:t>
      </w:r>
      <w:r>
        <w:rPr>
          <w:rFonts w:hint="eastAsia" w:ascii="仿宋_GB2312" w:hAnsi="仿宋" w:eastAsia="仿宋_GB2312" w:cs="Times New Roman"/>
          <w:bCs/>
          <w:color w:val="000000" w:themeColor="text1"/>
          <w:sz w:val="32"/>
          <w:szCs w:val="32"/>
        </w:rPr>
        <w:t>，无需详细说明。】</w:t>
      </w:r>
    </w:p>
    <w:p>
      <w:pPr>
        <w:spacing w:line="560" w:lineRule="exact"/>
        <w:ind w:firstLine="640" w:firstLineChars="200"/>
        <w:contextualSpacing/>
        <w:rPr>
          <w:rFonts w:ascii="仿宋_GB2312" w:hAnsi="仿宋" w:eastAsia="仿宋_GB2312" w:cs="Times New Roman"/>
          <w:bCs/>
          <w:sz w:val="32"/>
          <w:szCs w:val="32"/>
        </w:rPr>
      </w:pPr>
      <w:r>
        <w:rPr>
          <w:rFonts w:hint="eastAsia" w:ascii="仿宋_GB2312" w:hAnsi="仿宋" w:eastAsia="仿宋_GB2312" w:cs="Times New Roman"/>
          <w:bCs/>
          <w:sz w:val="32"/>
          <w:szCs w:val="32"/>
        </w:rPr>
        <w:t>特定原始权益人历史沿革事件主要如下：</w:t>
      </w:r>
    </w:p>
    <w:tbl>
      <w:tblPr>
        <w:tblStyle w:val="11"/>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483"/>
        <w:gridCol w:w="4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83" w:type="dxa"/>
            <w:gridSpan w:val="3"/>
            <w:vAlign w:val="center"/>
          </w:tcPr>
          <w:p>
            <w:pPr>
              <w:widowControl/>
              <w:jc w:val="center"/>
              <w:rPr>
                <w:rFonts w:ascii="仿宋_GB2312" w:eastAsia="仿宋_GB2312"/>
                <w:b/>
                <w:color w:val="000000"/>
                <w:kern w:val="0"/>
                <w:szCs w:val="21"/>
              </w:rPr>
            </w:pPr>
            <w:r>
              <w:rPr>
                <w:rFonts w:hint="eastAsia" w:ascii="仿宋_GB2312" w:eastAsia="仿宋_GB2312"/>
                <w:b/>
                <w:color w:val="000000"/>
                <w:kern w:val="0"/>
                <w:szCs w:val="21"/>
              </w:rPr>
              <w:t>特定原始权益人历史沿革信息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817" w:type="dxa"/>
            <w:vAlign w:val="center"/>
          </w:tcPr>
          <w:p>
            <w:pPr>
              <w:widowControl/>
              <w:jc w:val="center"/>
              <w:rPr>
                <w:rFonts w:ascii="仿宋_GB2312" w:eastAsia="仿宋_GB2312"/>
                <w:b/>
                <w:color w:val="000000"/>
                <w:kern w:val="0"/>
                <w:szCs w:val="21"/>
              </w:rPr>
            </w:pPr>
            <w:r>
              <w:rPr>
                <w:rFonts w:hint="eastAsia" w:ascii="仿宋_GB2312" w:eastAsia="仿宋_GB2312"/>
                <w:b/>
                <w:color w:val="000000"/>
                <w:kern w:val="0"/>
                <w:szCs w:val="21"/>
              </w:rPr>
              <w:t>序号</w:t>
            </w:r>
          </w:p>
        </w:tc>
        <w:tc>
          <w:tcPr>
            <w:tcW w:w="3483" w:type="dxa"/>
            <w:vAlign w:val="center"/>
          </w:tcPr>
          <w:p>
            <w:pPr>
              <w:widowControl/>
              <w:jc w:val="center"/>
              <w:rPr>
                <w:rFonts w:ascii="仿宋_GB2312" w:eastAsia="仿宋_GB2312"/>
                <w:b/>
                <w:color w:val="000000"/>
                <w:kern w:val="0"/>
                <w:szCs w:val="21"/>
              </w:rPr>
            </w:pPr>
            <w:r>
              <w:rPr>
                <w:rFonts w:hint="eastAsia" w:ascii="仿宋_GB2312" w:eastAsia="仿宋_GB2312"/>
                <w:b/>
                <w:color w:val="000000"/>
                <w:kern w:val="0"/>
                <w:szCs w:val="21"/>
              </w:rPr>
              <w:t>事件类型</w:t>
            </w:r>
          </w:p>
        </w:tc>
        <w:tc>
          <w:tcPr>
            <w:tcW w:w="4383" w:type="dxa"/>
            <w:vAlign w:val="center"/>
          </w:tcPr>
          <w:p>
            <w:pPr>
              <w:widowControl/>
              <w:jc w:val="center"/>
              <w:rPr>
                <w:rFonts w:ascii="仿宋_GB2312" w:eastAsia="仿宋_GB2312"/>
                <w:b/>
                <w:color w:val="000000"/>
                <w:kern w:val="0"/>
                <w:szCs w:val="21"/>
              </w:rPr>
            </w:pPr>
            <w:r>
              <w:rPr>
                <w:rFonts w:hint="eastAsia" w:ascii="仿宋_GB2312" w:eastAsia="仿宋_GB2312"/>
                <w:b/>
                <w:color w:val="000000"/>
                <w:kern w:val="0"/>
                <w:szCs w:val="21"/>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1</w:t>
            </w:r>
          </w:p>
        </w:tc>
        <w:tc>
          <w:tcPr>
            <w:tcW w:w="3483" w:type="dxa"/>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设立/更名/股本结构变动/改制/增减资/合并/分立/破产重整等</w:t>
            </w:r>
          </w:p>
        </w:tc>
        <w:tc>
          <w:tcPr>
            <w:tcW w:w="4383" w:type="dxa"/>
            <w:vAlign w:val="center"/>
          </w:tcPr>
          <w:p>
            <w:pPr>
              <w:widowControl/>
              <w:jc w:val="left"/>
              <w:rPr>
                <w:rFonts w:ascii="仿宋_GB2312" w:eastAsia="仿宋_GB2312"/>
                <w:color w:val="000000"/>
                <w:kern w:val="0"/>
                <w:szCs w:val="21"/>
              </w:rPr>
            </w:pPr>
            <w:r>
              <w:rPr>
                <w:rFonts w:hint="eastAsia" w:ascii="仿宋_GB2312" w:eastAsia="仿宋_GB2312"/>
                <w:color w:val="000000"/>
                <w:kern w:val="0"/>
                <w:szCs w:val="21"/>
              </w:rPr>
              <w:t>（以总结性文字简要阐述）</w:t>
            </w:r>
          </w:p>
          <w:p>
            <w:pPr>
              <w:widowControl/>
              <w:jc w:val="left"/>
              <w:rPr>
                <w:rFonts w:ascii="仿宋_GB2312" w:eastAsia="仿宋_GB2312"/>
                <w:color w:val="000000"/>
                <w:kern w:val="0"/>
                <w:szCs w:val="21"/>
              </w:rPr>
            </w:pPr>
            <w:r>
              <w:rPr>
                <w:rFonts w:hint="eastAsia" w:ascii="仿宋_GB2312" w:eastAsia="仿宋_GB2312"/>
                <w:i/>
                <w:color w:val="000000"/>
                <w:kern w:val="0"/>
                <w:szCs w:val="21"/>
              </w:rPr>
              <w:t>例如：特定原始权益人于</w:t>
            </w:r>
            <w:r>
              <w:rPr>
                <w:rFonts w:ascii="仿宋_GB2312" w:eastAsia="仿宋_GB2312"/>
                <w:i/>
                <w:color w:val="000000"/>
                <w:kern w:val="0"/>
                <w:szCs w:val="21"/>
              </w:rPr>
              <w:t>XX时点、XX时点</w:t>
            </w:r>
            <w:r>
              <w:rPr>
                <w:rFonts w:hint="eastAsia" w:ascii="仿宋_GB2312" w:eastAsia="仿宋_GB2312"/>
                <w:i/>
                <w:color w:val="000000"/>
                <w:kern w:val="0"/>
                <w:szCs w:val="21"/>
              </w:rPr>
              <w:t>分别增资</w:t>
            </w:r>
            <w:r>
              <w:rPr>
                <w:rFonts w:ascii="仿宋_GB2312" w:eastAsia="仿宋_GB2312"/>
                <w:i/>
                <w:color w:val="000000"/>
                <w:kern w:val="0"/>
                <w:szCs w:val="21"/>
              </w:rPr>
              <w:t>XX</w:t>
            </w:r>
            <w:r>
              <w:rPr>
                <w:rFonts w:hint="eastAsia" w:ascii="仿宋_GB2312" w:eastAsia="仿宋_GB2312"/>
                <w:i/>
                <w:color w:val="000000"/>
                <w:kern w:val="0"/>
                <w:szCs w:val="21"/>
              </w:rPr>
              <w:t>亿元、</w:t>
            </w:r>
            <w:r>
              <w:rPr>
                <w:rFonts w:ascii="仿宋_GB2312" w:eastAsia="仿宋_GB2312"/>
                <w:i/>
                <w:color w:val="000000"/>
                <w:kern w:val="0"/>
                <w:szCs w:val="21"/>
              </w:rPr>
              <w:t>XX亿元……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2</w:t>
            </w:r>
          </w:p>
        </w:tc>
        <w:tc>
          <w:tcPr>
            <w:tcW w:w="3483" w:type="dxa"/>
            <w:vAlign w:val="center"/>
          </w:tcPr>
          <w:p>
            <w:pPr>
              <w:widowControl/>
              <w:jc w:val="left"/>
              <w:rPr>
                <w:rFonts w:ascii="仿宋_GB2312" w:eastAsia="仿宋_GB2312"/>
                <w:color w:val="000000"/>
                <w:kern w:val="0"/>
                <w:szCs w:val="21"/>
              </w:rPr>
            </w:pPr>
          </w:p>
        </w:tc>
        <w:tc>
          <w:tcPr>
            <w:tcW w:w="4383" w:type="dxa"/>
            <w:vAlign w:val="center"/>
          </w:tcPr>
          <w:p>
            <w:pPr>
              <w:widowControl/>
              <w:jc w:val="left"/>
              <w:rPr>
                <w:rFonts w:ascii="仿宋_GB2312" w:eastAsia="仿宋_GB2312"/>
                <w:i/>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17" w:type="dxa"/>
            <w:vAlign w:val="center"/>
          </w:tcPr>
          <w:p>
            <w:pPr>
              <w:widowControl/>
              <w:jc w:val="center"/>
              <w:rPr>
                <w:rFonts w:ascii="仿宋_GB2312" w:eastAsia="仿宋_GB2312"/>
                <w:color w:val="000000"/>
                <w:kern w:val="0"/>
                <w:szCs w:val="21"/>
              </w:rPr>
            </w:pPr>
            <w:r>
              <w:rPr>
                <w:rFonts w:hint="eastAsia" w:ascii="仿宋_GB2312" w:eastAsia="仿宋_GB2312"/>
                <w:color w:val="000000"/>
                <w:kern w:val="0"/>
                <w:szCs w:val="21"/>
              </w:rPr>
              <w:t>3</w:t>
            </w:r>
          </w:p>
        </w:tc>
        <w:tc>
          <w:tcPr>
            <w:tcW w:w="3483" w:type="dxa"/>
            <w:vAlign w:val="center"/>
          </w:tcPr>
          <w:p>
            <w:pPr>
              <w:widowControl/>
              <w:jc w:val="left"/>
              <w:rPr>
                <w:rFonts w:ascii="仿宋_GB2312" w:eastAsia="仿宋_GB2312"/>
                <w:color w:val="000000"/>
                <w:kern w:val="0"/>
                <w:szCs w:val="21"/>
              </w:rPr>
            </w:pPr>
          </w:p>
        </w:tc>
        <w:tc>
          <w:tcPr>
            <w:tcW w:w="4383" w:type="dxa"/>
            <w:vAlign w:val="center"/>
          </w:tcPr>
          <w:p>
            <w:pPr>
              <w:widowControl/>
              <w:jc w:val="left"/>
              <w:rPr>
                <w:rFonts w:ascii="仿宋_GB2312" w:eastAsia="仿宋_GB2312"/>
                <w:color w:val="000000"/>
                <w:kern w:val="0"/>
                <w:szCs w:val="21"/>
              </w:rPr>
            </w:pPr>
          </w:p>
        </w:tc>
      </w:tr>
    </w:tbl>
    <w:p>
      <w:pPr>
        <w:spacing w:line="560" w:lineRule="exact"/>
        <w:ind w:firstLine="640" w:firstLineChars="200"/>
        <w:contextualSpacing/>
        <w:rPr>
          <w:rFonts w:ascii="仿宋_GB2312" w:hAnsi="仿宋" w:eastAsia="仿宋_GB2312" w:cs="Times New Roman"/>
          <w:bCs/>
          <w:sz w:val="32"/>
          <w:szCs w:val="32"/>
        </w:rPr>
      </w:pPr>
      <w:r>
        <w:rPr>
          <w:rFonts w:hint="eastAsia" w:ascii="仿宋_GB2312" w:hAnsi="仿宋" w:eastAsia="仿宋_GB2312" w:cs="Times New Roman"/>
          <w:sz w:val="32"/>
          <w:szCs w:val="32"/>
        </w:rPr>
        <w:t>特定原始权益人发生对</w:t>
      </w:r>
      <w:r>
        <w:rPr>
          <w:rFonts w:hint="eastAsia" w:ascii="仿宋_GB2312" w:hAnsi="仿宋" w:eastAsia="仿宋_GB2312" w:cs="Times New Roman"/>
          <w:bCs/>
          <w:sz w:val="32"/>
          <w:szCs w:val="32"/>
        </w:rPr>
        <w:t>偿债能力构成</w:t>
      </w:r>
      <w:r>
        <w:rPr>
          <w:rFonts w:hint="eastAsia" w:ascii="仿宋_GB2312" w:hAnsi="仿宋" w:eastAsia="仿宋_GB2312" w:cs="Times New Roman"/>
          <w:sz w:val="32"/>
          <w:szCs w:val="32"/>
        </w:rPr>
        <w:t>重大不利影响的事件的，计划管理人应当披露具体情况及影响：</w:t>
      </w:r>
    </w:p>
    <w:p>
      <w:pPr>
        <w:spacing w:line="560" w:lineRule="exact"/>
        <w:ind w:firstLine="640" w:firstLineChars="200"/>
        <w:contextualSpacing/>
        <w:rPr>
          <w:rFonts w:ascii="仿宋_GB2312" w:hAnsi="仿宋" w:eastAsia="仿宋_GB2312" w:cs="Times New Roman"/>
          <w:sz w:val="32"/>
          <w:szCs w:val="32"/>
        </w:rPr>
      </w:pPr>
      <w:r>
        <w:rPr>
          <w:rFonts w:ascii="仿宋_GB2312" w:hAnsi="仿宋" w:eastAsia="仿宋_GB2312"/>
          <w:sz w:val="32"/>
          <w:szCs w:val="32"/>
        </w:rPr>
        <w:t>___________________________________________________</w:t>
      </w:r>
    </w:p>
    <w:p>
      <w:pPr>
        <w:spacing w:line="560" w:lineRule="exact"/>
        <w:ind w:firstLine="642" w:firstLineChars="200"/>
        <w:contextualSpacing/>
        <w:rPr>
          <w:rFonts w:ascii="仿宋_GB2312" w:hAnsi="仿宋" w:eastAsia="仿宋_GB2312" w:cs="Times New Roman"/>
          <w:b/>
          <w:bCs/>
          <w:color w:val="000000" w:themeColor="text1"/>
          <w:sz w:val="32"/>
          <w:szCs w:val="32"/>
        </w:rPr>
      </w:pPr>
      <w:r>
        <w:rPr>
          <w:rFonts w:ascii="仿宋_GB2312" w:hAnsi="仿宋" w:eastAsia="仿宋_GB2312" w:cs="Times New Roman"/>
          <w:b/>
          <w:bCs/>
          <w:color w:val="000000" w:themeColor="text1"/>
          <w:sz w:val="32"/>
          <w:szCs w:val="32"/>
        </w:rPr>
        <w:t>2.治理结构、</w:t>
      </w:r>
      <w:r>
        <w:rPr>
          <w:rFonts w:hint="eastAsia" w:ascii="仿宋_GB2312" w:hAnsi="仿宋" w:eastAsia="仿宋_GB2312" w:cs="Times New Roman"/>
          <w:b/>
          <w:bCs/>
          <w:color w:val="000000" w:themeColor="text1"/>
          <w:sz w:val="32"/>
          <w:szCs w:val="32"/>
        </w:rPr>
        <w:t>组织机构设置及运行情况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【填写说明：若特定原始权益人治理结构、组织机构常规且运行正常，可以概括性说明其重要组织机构设置及运行情况。】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特定原始权益人的组织结构图如下：</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2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4252" w:type="dxa"/>
          </w:tcPr>
          <w:p>
            <w:pPr>
              <w:spacing w:line="600" w:lineRule="exact"/>
              <w:contextualSpacing/>
              <w:rPr>
                <w:rFonts w:ascii="仿宋_GB2312" w:hAnsi="仿宋" w:eastAsia="仿宋_GB2312" w:cs="Times New Roman"/>
                <w:bCs/>
                <w:sz w:val="30"/>
                <w:szCs w:val="30"/>
              </w:rPr>
            </w:pPr>
          </w:p>
          <w:p>
            <w:pPr>
              <w:spacing w:line="600" w:lineRule="exact"/>
              <w:contextualSpacing/>
              <w:rPr>
                <w:rFonts w:ascii="仿宋_GB2312" w:hAnsi="仿宋" w:eastAsia="仿宋_GB2312" w:cs="Times New Roman"/>
                <w:bCs/>
                <w:sz w:val="30"/>
                <w:szCs w:val="30"/>
              </w:rPr>
            </w:pPr>
          </w:p>
          <w:p>
            <w:pPr>
              <w:spacing w:line="600" w:lineRule="exact"/>
              <w:contextualSpacing/>
              <w:rPr>
                <w:rFonts w:ascii="仿宋_GB2312" w:hAnsi="仿宋" w:eastAsia="仿宋_GB2312" w:cs="Times New Roman"/>
                <w:bCs/>
                <w:sz w:val="30"/>
                <w:szCs w:val="30"/>
              </w:rPr>
            </w:pPr>
          </w:p>
        </w:tc>
      </w:tr>
    </w:tbl>
    <w:p>
      <w:pPr>
        <w:spacing w:line="560" w:lineRule="exact"/>
        <w:ind w:firstLine="642"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
          <w:bCs/>
          <w:i/>
          <w:color w:val="000000" w:themeColor="text1"/>
          <w:sz w:val="32"/>
          <w:szCs w:val="32"/>
        </w:rPr>
        <w:t>示例：</w:t>
      </w:r>
      <w:r>
        <w:rPr>
          <w:rFonts w:hint="eastAsia" w:ascii="仿宋_GB2312" w:hAnsi="仿宋" w:eastAsia="仿宋_GB2312" w:cs="Times New Roman"/>
          <w:bCs/>
          <w:color w:val="000000" w:themeColor="text1"/>
          <w:sz w:val="32"/>
          <w:szCs w:val="32"/>
        </w:rPr>
        <w:t>特定原始权益人已按照《公司法》等要求，制定了《</w:t>
      </w:r>
      <w:r>
        <w:rPr>
          <w:rFonts w:ascii="仿宋_GB2312" w:hAnsi="仿宋" w:eastAsia="仿宋_GB2312" w:cs="Times New Roman"/>
          <w:bCs/>
          <w:color w:val="000000" w:themeColor="text1"/>
          <w:sz w:val="32"/>
          <w:szCs w:val="32"/>
        </w:rPr>
        <w:t>XX公司公司章程》，建立和完善了规范的法人治理结构，设置了合理的组织机构，制定了包括财务管理、关联交易制度等共XX项内部管理制度，目前特定原始权益人治理结构、组织机构和内部管理制度运行正常。逐步形成科学的决策机制、执行机制和监督机制。</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特定原始权益人存在</w:t>
      </w:r>
      <w:r>
        <w:rPr>
          <w:rFonts w:hint="eastAsia" w:ascii="仿宋_GB2312" w:hAnsi="仿宋" w:eastAsia="仿宋_GB2312"/>
          <w:color w:val="000000" w:themeColor="text1"/>
          <w:sz w:val="32"/>
          <w:szCs w:val="32"/>
        </w:rPr>
        <w:t>特殊情况或运行异常的，计划管理人应详细披露及说明具体情形</w:t>
      </w:r>
      <w:r>
        <w:rPr>
          <w:rFonts w:hint="eastAsia" w:ascii="仿宋_GB2312" w:hAnsi="仿宋" w:eastAsia="仿宋_GB2312" w:cs="Times New Roman"/>
          <w:bCs/>
          <w:color w:val="000000" w:themeColor="text1"/>
          <w:sz w:val="32"/>
          <w:szCs w:val="32"/>
        </w:rPr>
        <w:t>：</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ascii="仿宋_GB2312" w:hAnsi="仿宋" w:eastAsia="仿宋_GB2312" w:cs="Times New Roman"/>
          <w:bCs/>
          <w:color w:val="000000" w:themeColor="text1"/>
          <w:sz w:val="32"/>
          <w:szCs w:val="32"/>
        </w:rPr>
        <w:t>___________________________________________________</w:t>
      </w:r>
    </w:p>
    <w:p>
      <w:pPr>
        <w:pStyle w:val="27"/>
        <w:spacing w:line="560" w:lineRule="exact"/>
        <w:ind w:firstLine="643"/>
        <w:rPr>
          <w:sz w:val="32"/>
          <w:szCs w:val="32"/>
        </w:rPr>
      </w:pPr>
      <w:r>
        <w:rPr>
          <w:rFonts w:hAnsi="仿宋" w:cs="Times New Roman"/>
          <w:bCs w:val="0"/>
          <w:color w:val="000000" w:themeColor="text1"/>
          <w:sz w:val="32"/>
          <w:szCs w:val="32"/>
        </w:rPr>
        <w:t>3.</w:t>
      </w:r>
      <w:r>
        <w:rPr>
          <w:rFonts w:hint="eastAsia"/>
          <w:sz w:val="32"/>
          <w:szCs w:val="32"/>
        </w:rPr>
        <w:t>特定原始权益人的主要人员情况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【填写说明：主要人员情况可以通过下表列示，无需披露现任董事、监事、高级管理人员等主要人员的简历。】</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截至报告期末，特定原始权益人主要人员情况如下：</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1053"/>
        <w:gridCol w:w="1062"/>
        <w:gridCol w:w="1275"/>
        <w:gridCol w:w="1437"/>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933"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姓名</w:t>
            </w:r>
          </w:p>
        </w:tc>
        <w:tc>
          <w:tcPr>
            <w:tcW w:w="618"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现任</w:t>
            </w:r>
          </w:p>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职务</w:t>
            </w:r>
          </w:p>
        </w:tc>
        <w:tc>
          <w:tcPr>
            <w:tcW w:w="623" w:type="pct"/>
            <w:vAlign w:val="center"/>
          </w:tcPr>
          <w:p>
            <w:pPr>
              <w:adjustRightInd w:val="0"/>
              <w:snapToGrid w:val="0"/>
              <w:jc w:val="center"/>
              <w:rPr>
                <w:rFonts w:ascii="仿宋_GB2312" w:hAnsi="Times" w:eastAsia="仿宋_GB2312" w:cs="Times New Roman"/>
                <w:b/>
                <w:bCs/>
                <w:szCs w:val="21"/>
              </w:rPr>
            </w:pPr>
            <w:r>
              <w:rPr>
                <w:rFonts w:hint="eastAsia" w:ascii="仿宋_GB2312" w:hAnsi="Times" w:eastAsia="仿宋_GB2312" w:cs="Times New Roman"/>
                <w:b/>
                <w:bCs/>
                <w:szCs w:val="21"/>
              </w:rPr>
              <w:t>任期</w:t>
            </w:r>
          </w:p>
          <w:p>
            <w:pPr>
              <w:adjustRightInd w:val="0"/>
              <w:snapToGrid w:val="0"/>
              <w:jc w:val="center"/>
              <w:rPr>
                <w:rFonts w:ascii="仿宋_GB2312" w:hAnsi="Times" w:eastAsia="仿宋_GB2312" w:cs="Times New Roman"/>
                <w:b/>
                <w:bCs/>
                <w:szCs w:val="21"/>
              </w:rPr>
            </w:pPr>
            <w:r>
              <w:rPr>
                <w:rFonts w:ascii="仿宋_GB2312" w:hAnsi="Times" w:eastAsia="仿宋_GB2312" w:cs="Times New Roman"/>
                <w:b/>
                <w:bCs/>
                <w:szCs w:val="21"/>
              </w:rPr>
              <w:t>(</w:t>
            </w:r>
            <w:r>
              <w:rPr>
                <w:rFonts w:hint="eastAsia" w:ascii="仿宋_GB2312" w:hAnsi="Times" w:eastAsia="仿宋_GB2312" w:cs="Times New Roman"/>
                <w:b/>
                <w:bCs/>
                <w:szCs w:val="21"/>
              </w:rPr>
              <w:t>如有)</w:t>
            </w:r>
          </w:p>
        </w:tc>
        <w:tc>
          <w:tcPr>
            <w:tcW w:w="748"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设置是否符合</w:t>
            </w:r>
            <w:r>
              <w:rPr>
                <w:rFonts w:ascii="仿宋_GB2312" w:hAnsi="Times" w:eastAsia="仿宋_GB2312" w:cs="Times New Roman"/>
                <w:b/>
                <w:szCs w:val="21"/>
              </w:rPr>
              <w:t>《公司法》等相关法律法规及公司章程</w:t>
            </w:r>
            <w:r>
              <w:rPr>
                <w:rFonts w:hint="eastAsia" w:ascii="仿宋_GB2312" w:hAnsi="Times" w:eastAsia="仿宋_GB2312" w:cs="Times New Roman"/>
                <w:b/>
                <w:szCs w:val="21"/>
              </w:rPr>
              <w:t>相关要求</w:t>
            </w:r>
          </w:p>
        </w:tc>
        <w:tc>
          <w:tcPr>
            <w:tcW w:w="843"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是否存在重大违纪违法情况</w:t>
            </w:r>
            <w:r>
              <w:rPr>
                <w:rStyle w:val="15"/>
                <w:rFonts w:ascii="仿宋_GB2312" w:hAnsi="Times" w:eastAsia="仿宋_GB2312" w:cs="Times New Roman"/>
                <w:szCs w:val="21"/>
              </w:rPr>
              <w:footnoteReference w:id="4"/>
            </w:r>
          </w:p>
        </w:tc>
        <w:tc>
          <w:tcPr>
            <w:tcW w:w="1235" w:type="pct"/>
            <w:vAlign w:val="center"/>
          </w:tcPr>
          <w:p>
            <w:pPr>
              <w:adjustRightInd w:val="0"/>
              <w:snapToGrid w:val="0"/>
              <w:jc w:val="center"/>
              <w:rPr>
                <w:rFonts w:ascii="仿宋_GB2312" w:hAnsi="Times" w:eastAsia="仿宋_GB2312" w:cs="Times New Roman"/>
                <w:b/>
                <w:szCs w:val="21"/>
              </w:rPr>
            </w:pPr>
            <w:r>
              <w:rPr>
                <w:rFonts w:hint="eastAsia" w:ascii="仿宋_GB2312" w:hAnsi="Times" w:eastAsia="仿宋_GB2312" w:cs="Times New Roman"/>
                <w:b/>
                <w:szCs w:val="21"/>
              </w:rPr>
              <w:t>其他（如需）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 w:type="pct"/>
            <w:vAlign w:val="center"/>
          </w:tcPr>
          <w:p>
            <w:pPr>
              <w:adjustRightInd w:val="0"/>
              <w:snapToGrid w:val="0"/>
              <w:jc w:val="center"/>
              <w:rPr>
                <w:rFonts w:ascii="仿宋_GB2312" w:hAnsi="Times" w:eastAsia="仿宋_GB2312" w:cs="Times New Roman"/>
                <w:bCs/>
                <w:szCs w:val="21"/>
              </w:rPr>
            </w:pPr>
          </w:p>
        </w:tc>
        <w:tc>
          <w:tcPr>
            <w:tcW w:w="618" w:type="pct"/>
            <w:vAlign w:val="center"/>
          </w:tcPr>
          <w:p>
            <w:pPr>
              <w:adjustRightInd w:val="0"/>
              <w:snapToGrid w:val="0"/>
              <w:jc w:val="center"/>
              <w:rPr>
                <w:rFonts w:ascii="仿宋_GB2312" w:hAnsi="Times" w:eastAsia="仿宋_GB2312" w:cs="Times New Roman"/>
                <w:bCs/>
                <w:szCs w:val="21"/>
              </w:rPr>
            </w:pPr>
          </w:p>
        </w:tc>
        <w:tc>
          <w:tcPr>
            <w:tcW w:w="623" w:type="pct"/>
            <w:vAlign w:val="center"/>
          </w:tcPr>
          <w:p>
            <w:pPr>
              <w:adjustRightInd w:val="0"/>
              <w:snapToGrid w:val="0"/>
              <w:jc w:val="center"/>
              <w:rPr>
                <w:rFonts w:ascii="仿宋_GB2312" w:hAnsi="Times" w:eastAsia="仿宋_GB2312" w:cs="Times New Roman"/>
                <w:bCs/>
                <w:szCs w:val="21"/>
              </w:rPr>
            </w:pPr>
          </w:p>
        </w:tc>
        <w:tc>
          <w:tcPr>
            <w:tcW w:w="748"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是/否</w:t>
            </w:r>
          </w:p>
        </w:tc>
        <w:tc>
          <w:tcPr>
            <w:tcW w:w="843"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是/否</w:t>
            </w:r>
          </w:p>
        </w:tc>
        <w:tc>
          <w:tcPr>
            <w:tcW w:w="1235" w:type="pct"/>
            <w:vAlign w:val="center"/>
          </w:tcPr>
          <w:p>
            <w:pPr>
              <w:adjustRightInd w:val="0"/>
              <w:snapToGrid w:val="0"/>
              <w:jc w:val="center"/>
              <w:rPr>
                <w:rFonts w:ascii="仿宋_GB2312" w:hAnsi="Times" w:eastAsia="仿宋_GB2312" w:cs="Times New Roman"/>
                <w:szCs w:val="21"/>
              </w:rPr>
            </w:pPr>
            <w:r>
              <w:rPr>
                <w:rFonts w:hint="eastAsia" w:ascii="仿宋_GB2312" w:hAnsi="Times" w:eastAsia="仿宋_GB2312" w:cs="Times New Roman"/>
                <w:szCs w:val="21"/>
              </w:rPr>
              <w:t>（简述概况）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3" w:type="pct"/>
            <w:vAlign w:val="center"/>
          </w:tcPr>
          <w:p>
            <w:pPr>
              <w:adjustRightInd w:val="0"/>
              <w:snapToGrid w:val="0"/>
              <w:jc w:val="center"/>
              <w:rPr>
                <w:rFonts w:ascii="仿宋_GB2312" w:hAnsi="Times" w:eastAsia="仿宋_GB2312" w:cs="Times New Roman"/>
                <w:bCs/>
                <w:szCs w:val="21"/>
              </w:rPr>
            </w:pPr>
          </w:p>
        </w:tc>
        <w:tc>
          <w:tcPr>
            <w:tcW w:w="618" w:type="pct"/>
            <w:vAlign w:val="center"/>
          </w:tcPr>
          <w:p>
            <w:pPr>
              <w:adjustRightInd w:val="0"/>
              <w:snapToGrid w:val="0"/>
              <w:jc w:val="center"/>
              <w:rPr>
                <w:rFonts w:ascii="仿宋_GB2312" w:hAnsi="Times" w:eastAsia="仿宋_GB2312" w:cs="Times New Roman"/>
                <w:bCs/>
                <w:szCs w:val="21"/>
              </w:rPr>
            </w:pPr>
          </w:p>
        </w:tc>
        <w:tc>
          <w:tcPr>
            <w:tcW w:w="623" w:type="pct"/>
            <w:vAlign w:val="center"/>
          </w:tcPr>
          <w:p>
            <w:pPr>
              <w:adjustRightInd w:val="0"/>
              <w:snapToGrid w:val="0"/>
              <w:jc w:val="center"/>
              <w:rPr>
                <w:rFonts w:ascii="仿宋_GB2312" w:hAnsi="Times" w:eastAsia="仿宋_GB2312" w:cs="Times New Roman"/>
                <w:bCs/>
                <w:szCs w:val="21"/>
              </w:rPr>
            </w:pPr>
          </w:p>
        </w:tc>
        <w:tc>
          <w:tcPr>
            <w:tcW w:w="748" w:type="pct"/>
            <w:vAlign w:val="center"/>
          </w:tcPr>
          <w:p>
            <w:pPr>
              <w:adjustRightInd w:val="0"/>
              <w:snapToGrid w:val="0"/>
              <w:jc w:val="center"/>
              <w:rPr>
                <w:rFonts w:ascii="仿宋_GB2312" w:hAnsi="Times" w:eastAsia="仿宋_GB2312" w:cs="Times New Roman"/>
                <w:szCs w:val="21"/>
              </w:rPr>
            </w:pPr>
          </w:p>
        </w:tc>
        <w:tc>
          <w:tcPr>
            <w:tcW w:w="843" w:type="pct"/>
            <w:vAlign w:val="center"/>
          </w:tcPr>
          <w:p>
            <w:pPr>
              <w:adjustRightInd w:val="0"/>
              <w:snapToGrid w:val="0"/>
              <w:jc w:val="center"/>
              <w:rPr>
                <w:rFonts w:ascii="仿宋_GB2312" w:hAnsi="Times" w:eastAsia="仿宋_GB2312" w:cs="Times New Roman"/>
                <w:szCs w:val="21"/>
              </w:rPr>
            </w:pPr>
          </w:p>
        </w:tc>
        <w:tc>
          <w:tcPr>
            <w:tcW w:w="1235" w:type="pct"/>
            <w:vAlign w:val="center"/>
          </w:tcPr>
          <w:p>
            <w:pPr>
              <w:adjustRightInd w:val="0"/>
              <w:snapToGrid w:val="0"/>
              <w:jc w:val="center"/>
              <w:rPr>
                <w:rFonts w:ascii="仿宋_GB2312" w:hAnsi="Times" w:eastAsia="仿宋_GB2312" w:cs="Times New Roman"/>
                <w:szCs w:val="21"/>
              </w:rPr>
            </w:pPr>
          </w:p>
        </w:tc>
      </w:tr>
    </w:tbl>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相关人员设置存在不符合上述相关要求或存在重大违纪违法情形的，计划管理人应当披露具体情况、原因及对特定原始权益人经营情况和偿债能力的影响：</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ascii="仿宋_GB2312" w:hAnsi="仿宋" w:eastAsia="仿宋_GB2312" w:cs="Times New Roman"/>
          <w:bCs/>
          <w:color w:val="000000" w:themeColor="text1"/>
          <w:sz w:val="32"/>
          <w:szCs w:val="32"/>
        </w:rPr>
        <w:t>___________________________________________________</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报告期内特定原始权益人董监高变动频繁或变动人数比例较大的，计划管理人应当披露变动情况、变动较大的原因及其对特定原始权益人组织机构运行的影响：</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ascii="仿宋_GB2312" w:hAnsi="仿宋" w:eastAsia="仿宋_GB2312" w:cs="Times New Roman"/>
          <w:bCs/>
          <w:color w:val="000000" w:themeColor="text1"/>
          <w:sz w:val="32"/>
          <w:szCs w:val="32"/>
        </w:rPr>
        <w:t>___________________________________________________</w:t>
      </w:r>
    </w:p>
    <w:p>
      <w:pPr>
        <w:spacing w:line="560" w:lineRule="exact"/>
        <w:ind w:firstLine="642" w:firstLineChars="200"/>
        <w:contextualSpacing/>
        <w:rPr>
          <w:rFonts w:ascii="仿宋_GB2312" w:hAnsi="仿宋" w:eastAsia="仿宋_GB2312" w:cs="Times New Roman"/>
          <w:b/>
          <w:bCs/>
          <w:color w:val="000000" w:themeColor="text1"/>
          <w:sz w:val="32"/>
          <w:szCs w:val="32"/>
        </w:rPr>
      </w:pPr>
      <w:r>
        <w:rPr>
          <w:rFonts w:ascii="仿宋_GB2312" w:hAnsi="仿宋" w:eastAsia="仿宋_GB2312" w:cs="Times New Roman"/>
          <w:b/>
          <w:bCs/>
          <w:color w:val="000000" w:themeColor="text1"/>
          <w:sz w:val="32"/>
          <w:szCs w:val="32"/>
        </w:rPr>
        <w:t>4.控股股东、实际控制人的基本情况</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控股股东情况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控股股东名称</w:t>
            </w:r>
          </w:p>
        </w:tc>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无控股股东的，应当说明原因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控股股东持股比例，及持有部分或股权权利限制情况</w:t>
            </w:r>
          </w:p>
        </w:tc>
        <w:tc>
          <w:tcPr>
            <w:tcW w:w="4261"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控股股东资信情况</w:t>
            </w:r>
          </w:p>
        </w:tc>
        <w:tc>
          <w:tcPr>
            <w:tcW w:w="4261"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控股股东成立日期及注册资本、资产规模</w:t>
            </w:r>
          </w:p>
        </w:tc>
        <w:tc>
          <w:tcPr>
            <w:tcW w:w="4261"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控股股东主要业务</w:t>
            </w:r>
          </w:p>
        </w:tc>
        <w:tc>
          <w:tcPr>
            <w:tcW w:w="4261"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控股股东是否存在被媒体质疑的重大事项</w:t>
            </w:r>
          </w:p>
        </w:tc>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否/是，请计划管理人详细披露</w:t>
            </w:r>
          </w:p>
        </w:tc>
      </w:tr>
    </w:tbl>
    <w:p>
      <w:pPr>
        <w:spacing w:line="600" w:lineRule="exact"/>
        <w:ind w:firstLine="602" w:firstLineChars="200"/>
        <w:contextualSpacing/>
        <w:rPr>
          <w:rFonts w:ascii="仿宋_GB2312" w:hAnsi="仿宋" w:eastAsia="仿宋_GB2312" w:cs="Times New Roman"/>
          <w:b/>
          <w:bCs/>
          <w:color w:val="000000" w:themeColor="text1"/>
          <w:sz w:val="30"/>
          <w:szCs w:val="30"/>
        </w:rPr>
      </w:pPr>
    </w:p>
    <w:tbl>
      <w:tblPr>
        <w:tblStyle w:val="11"/>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95"/>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6" w:type="dxa"/>
            <w:gridSpan w:val="2"/>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实际控制人情况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5"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实际控制人名称</w:t>
            </w:r>
          </w:p>
        </w:tc>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无实际控制人的，应当说明原因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5"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识别实际控制人的股权结构图</w:t>
            </w:r>
          </w:p>
        </w:tc>
        <w:tc>
          <w:tcPr>
            <w:tcW w:w="4261"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95"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实际控制人资信情况（如有）</w:t>
            </w:r>
          </w:p>
        </w:tc>
        <w:tc>
          <w:tcPr>
            <w:tcW w:w="4261"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5"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实际控制人成立日期及注册资本、资产规模（如有）</w:t>
            </w:r>
          </w:p>
        </w:tc>
        <w:tc>
          <w:tcPr>
            <w:tcW w:w="4261"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5"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实际控制人主要业务（如有）</w:t>
            </w:r>
          </w:p>
        </w:tc>
        <w:tc>
          <w:tcPr>
            <w:tcW w:w="4261"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95"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实际控制人是否存在被媒体质疑的重大事项</w:t>
            </w:r>
          </w:p>
        </w:tc>
        <w:tc>
          <w:tcPr>
            <w:tcW w:w="4261" w:type="dxa"/>
          </w:tcPr>
          <w:p>
            <w:pPr>
              <w:contextualSpacing/>
              <w:rPr>
                <w:rFonts w:ascii="仿宋_GB2312" w:hAnsi="仿宋" w:eastAsia="仿宋_GB2312" w:cs="Times New Roman"/>
                <w:bCs/>
                <w:color w:val="000000" w:themeColor="text1"/>
                <w:szCs w:val="21"/>
              </w:rPr>
            </w:pPr>
            <w:r>
              <w:rPr>
                <w:rFonts w:hint="eastAsia" w:ascii="仿宋_GB2312" w:hAnsi="仿宋" w:eastAsia="仿宋_GB2312" w:cs="Times New Roman"/>
                <w:bCs/>
                <w:color w:val="000000" w:themeColor="text1"/>
                <w:szCs w:val="21"/>
              </w:rPr>
              <w:t>否/是，请计划管理人详细披露</w:t>
            </w:r>
          </w:p>
        </w:tc>
      </w:tr>
    </w:tbl>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【填写说明：若特定原始权益人与控股股东、实际控制人之间在资产、人员、机构、财务、业务经营等方面相互独立，可以概括性披露。】</w:t>
      </w:r>
    </w:p>
    <w:p>
      <w:pPr>
        <w:pStyle w:val="27"/>
        <w:spacing w:line="560" w:lineRule="exact"/>
        <w:ind w:firstLine="643"/>
        <w:rPr>
          <w:rFonts w:hAnsi="仿宋" w:cs="Times New Roman"/>
          <w:b w:val="0"/>
          <w:bCs w:val="0"/>
          <w:sz w:val="32"/>
          <w:szCs w:val="32"/>
        </w:rPr>
      </w:pPr>
      <w:r>
        <w:rPr>
          <w:rFonts w:hint="eastAsia" w:hAnsi="仿宋" w:cs="Times New Roman"/>
          <w:bCs w:val="0"/>
          <w:i/>
          <w:sz w:val="32"/>
          <w:szCs w:val="32"/>
        </w:rPr>
        <w:t>示例：</w:t>
      </w:r>
      <w:r>
        <w:rPr>
          <w:rFonts w:hint="eastAsia" w:hAnsi="仿宋" w:cs="Times New Roman"/>
          <w:b w:val="0"/>
          <w:bCs w:val="0"/>
          <w:color w:val="000000" w:themeColor="text1"/>
          <w:sz w:val="32"/>
          <w:szCs w:val="32"/>
        </w:rPr>
        <w:t>特定原始权益人</w:t>
      </w:r>
      <w:r>
        <w:rPr>
          <w:rFonts w:hint="eastAsia" w:hAnsi="仿宋" w:cs="Times New Roman"/>
          <w:b w:val="0"/>
          <w:bCs w:val="0"/>
          <w:sz w:val="32"/>
          <w:szCs w:val="32"/>
        </w:rPr>
        <w:t>严格按照《公司法》《证券法》等有关法律、法规和公司章程的要求规范运作，与控股股东及实际控制人在资产、人员、机构、财务、业务经营等方面均保持独立性，不存在影响</w:t>
      </w:r>
      <w:r>
        <w:rPr>
          <w:rFonts w:hint="eastAsia" w:hAnsi="仿宋" w:cs="Times New Roman"/>
          <w:b w:val="0"/>
          <w:bCs w:val="0"/>
          <w:color w:val="000000" w:themeColor="text1"/>
          <w:sz w:val="32"/>
          <w:szCs w:val="32"/>
        </w:rPr>
        <w:t>特定原始权益人</w:t>
      </w:r>
      <w:r>
        <w:rPr>
          <w:rFonts w:hint="eastAsia" w:hAnsi="仿宋" w:cs="Times New Roman"/>
          <w:b w:val="0"/>
          <w:bCs w:val="0"/>
          <w:sz w:val="32"/>
          <w:szCs w:val="32"/>
        </w:rPr>
        <w:t>自主经营能力的情况。</w:t>
      </w:r>
    </w:p>
    <w:p>
      <w:pPr>
        <w:pStyle w:val="27"/>
        <w:spacing w:line="560" w:lineRule="exact"/>
        <w:ind w:firstLine="643"/>
        <w:rPr>
          <w:rFonts w:hAnsi="仿宋" w:cs="Times New Roman"/>
          <w:bCs w:val="0"/>
          <w:sz w:val="32"/>
          <w:szCs w:val="32"/>
        </w:rPr>
      </w:pPr>
      <w:r>
        <w:rPr>
          <w:rFonts w:hAnsi="仿宋" w:cs="Times New Roman"/>
          <w:bCs w:val="0"/>
          <w:sz w:val="32"/>
          <w:szCs w:val="32"/>
        </w:rPr>
        <w:t>5.对其他企业的重要权益投资情况</w:t>
      </w:r>
    </w:p>
    <w:p>
      <w:pPr>
        <w:spacing w:line="560" w:lineRule="exact"/>
        <w:ind w:firstLine="642" w:firstLineChars="200"/>
        <w:contextualSpacing/>
        <w:rPr>
          <w:rFonts w:ascii="仿宋_GB2312" w:hAnsi="仿宋" w:eastAsia="仿宋_GB2312" w:cs="Times New Roman"/>
          <w:b/>
          <w:bCs/>
          <w:color w:val="000000" w:themeColor="text1"/>
          <w:sz w:val="32"/>
          <w:szCs w:val="32"/>
        </w:rPr>
      </w:pPr>
      <w:r>
        <w:rPr>
          <w:rFonts w:hint="eastAsia" w:ascii="仿宋_GB2312" w:hAnsi="仿宋" w:eastAsia="仿宋_GB2312" w:cs="Times New Roman"/>
          <w:b/>
          <w:bCs/>
          <w:color w:val="000000" w:themeColor="text1"/>
          <w:sz w:val="32"/>
          <w:szCs w:val="32"/>
        </w:rPr>
        <w:t>【填写说明：不存在对净利润造成重大不利影响的，原则上可以豁免披露。】</w:t>
      </w:r>
    </w:p>
    <w:p>
      <w:pPr>
        <w:spacing w:line="560" w:lineRule="exact"/>
        <w:ind w:firstLine="642" w:firstLineChars="200"/>
        <w:contextualSpacing/>
        <w:rPr>
          <w:sz w:val="32"/>
          <w:szCs w:val="32"/>
        </w:rPr>
      </w:pPr>
      <w:r>
        <w:rPr>
          <w:rFonts w:hint="eastAsia" w:ascii="仿宋_GB2312" w:eastAsia="仿宋_GB2312"/>
          <w:b/>
          <w:sz w:val="32"/>
          <w:szCs w:val="32"/>
        </w:rPr>
        <w:t>（五）特定原始权益人主营业务情况</w:t>
      </w:r>
    </w:p>
    <w:p>
      <w:pPr>
        <w:pStyle w:val="27"/>
        <w:spacing w:line="560" w:lineRule="exact"/>
        <w:ind w:firstLine="643"/>
        <w:rPr>
          <w:sz w:val="32"/>
          <w:szCs w:val="32"/>
        </w:rPr>
      </w:pPr>
      <w:r>
        <w:rPr>
          <w:sz w:val="32"/>
          <w:szCs w:val="32"/>
        </w:rPr>
        <w:t>1.报告期各期营业数据</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若特定原始权益人季度或半年度主营业务板块及其运营情况未发生重大变化的，计划管理人可以仅披露收入占近一年或近一期主营业务收入或毛利润比重百分之二十以上的主要业务板块运营情况，并豁免季度或半年度业务运营情况分析。】</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7"/>
        <w:gridCol w:w="843"/>
        <w:gridCol w:w="843"/>
        <w:gridCol w:w="843"/>
        <w:gridCol w:w="843"/>
        <w:gridCol w:w="843"/>
        <w:gridCol w:w="843"/>
        <w:gridCol w:w="843"/>
        <w:gridCol w:w="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2114" w:type="dxa"/>
            <w:vMerge w:val="restart"/>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主要版块营业数据</w:t>
            </w:r>
          </w:p>
        </w:tc>
        <w:tc>
          <w:tcPr>
            <w:tcW w:w="1894" w:type="dxa"/>
            <w:gridSpan w:val="2"/>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最近一期末</w:t>
            </w:r>
          </w:p>
        </w:tc>
        <w:tc>
          <w:tcPr>
            <w:tcW w:w="1894" w:type="dxa"/>
            <w:gridSpan w:val="2"/>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2022年末</w:t>
            </w:r>
          </w:p>
        </w:tc>
        <w:tc>
          <w:tcPr>
            <w:tcW w:w="1894" w:type="dxa"/>
            <w:gridSpan w:val="2"/>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2021年末</w:t>
            </w:r>
          </w:p>
        </w:tc>
        <w:tc>
          <w:tcPr>
            <w:tcW w:w="1894" w:type="dxa"/>
            <w:gridSpan w:val="2"/>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2020年末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2114" w:type="dxa"/>
            <w:vMerge w:val="continue"/>
            <w:vAlign w:val="center"/>
          </w:tcPr>
          <w:p>
            <w:pPr>
              <w:contextualSpacing/>
              <w:jc w:val="center"/>
              <w:rPr>
                <w:rFonts w:ascii="仿宋_GB2312" w:hAnsi="仿宋" w:eastAsia="仿宋_GB2312" w:cs="Times New Roman"/>
                <w:bCs/>
                <w:color w:val="000000" w:themeColor="text1"/>
                <w:szCs w:val="21"/>
              </w:rPr>
            </w:pP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板块1</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板块2</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板块1</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板块2</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板块1</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板块2</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板块1</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4"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营业收入</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4"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占主营业务收入比重</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4"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毛利润</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4"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占毛利润比重</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4"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毛利率</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4"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主营业务毛利率</w:t>
            </w:r>
          </w:p>
        </w:tc>
        <w:tc>
          <w:tcPr>
            <w:tcW w:w="1894" w:type="dxa"/>
            <w:gridSpan w:val="2"/>
          </w:tcPr>
          <w:p>
            <w:pPr>
              <w:contextualSpacing/>
              <w:rPr>
                <w:rFonts w:ascii="仿宋_GB2312" w:hAnsi="仿宋" w:eastAsia="仿宋_GB2312" w:cs="Times New Roman"/>
                <w:bCs/>
                <w:color w:val="000000" w:themeColor="text1"/>
                <w:szCs w:val="21"/>
              </w:rPr>
            </w:pPr>
          </w:p>
        </w:tc>
        <w:tc>
          <w:tcPr>
            <w:tcW w:w="1894" w:type="dxa"/>
            <w:gridSpan w:val="2"/>
          </w:tcPr>
          <w:p>
            <w:pPr>
              <w:contextualSpacing/>
              <w:rPr>
                <w:rFonts w:ascii="仿宋_GB2312" w:hAnsi="仿宋" w:eastAsia="仿宋_GB2312" w:cs="Times New Roman"/>
                <w:bCs/>
                <w:color w:val="000000" w:themeColor="text1"/>
                <w:szCs w:val="21"/>
              </w:rPr>
            </w:pPr>
          </w:p>
        </w:tc>
        <w:tc>
          <w:tcPr>
            <w:tcW w:w="1894" w:type="dxa"/>
            <w:gridSpan w:val="2"/>
          </w:tcPr>
          <w:p>
            <w:pPr>
              <w:contextualSpacing/>
              <w:rPr>
                <w:rFonts w:ascii="仿宋_GB2312" w:hAnsi="仿宋" w:eastAsia="仿宋_GB2312" w:cs="Times New Roman"/>
                <w:bCs/>
                <w:color w:val="000000" w:themeColor="text1"/>
                <w:szCs w:val="21"/>
              </w:rPr>
            </w:pPr>
          </w:p>
        </w:tc>
        <w:tc>
          <w:tcPr>
            <w:tcW w:w="1894" w:type="dxa"/>
            <w:gridSpan w:val="2"/>
          </w:tcPr>
          <w:p>
            <w:pPr>
              <w:contextualSpacing/>
              <w:rPr>
                <w:rFonts w:ascii="仿宋_GB2312" w:hAnsi="仿宋" w:eastAsia="仿宋_GB2312" w:cs="Times New Roman"/>
                <w:bCs/>
                <w:color w:val="000000" w:themeColor="text1"/>
                <w:szCs w:val="21"/>
              </w:rPr>
            </w:pPr>
          </w:p>
        </w:tc>
      </w:tr>
    </w:tbl>
    <w:p>
      <w:pPr>
        <w:pStyle w:val="27"/>
        <w:spacing w:line="560" w:lineRule="exact"/>
        <w:ind w:firstLine="643"/>
        <w:rPr>
          <w:sz w:val="32"/>
          <w:szCs w:val="32"/>
        </w:rPr>
      </w:pPr>
      <w:r>
        <w:rPr>
          <w:sz w:val="32"/>
          <w:szCs w:val="32"/>
        </w:rPr>
        <w:t>2.行业状况及主要竞争状况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【填写说明：经管理人核查，特定原始权益人所在行业或其行业地位未发生重大不利变化，可概括说明结论，豁免披露详细信息。】</w:t>
      </w:r>
    </w:p>
    <w:p>
      <w:pPr>
        <w:pStyle w:val="27"/>
        <w:spacing w:line="560" w:lineRule="exact"/>
        <w:ind w:firstLine="643"/>
        <w:rPr>
          <w:sz w:val="32"/>
          <w:szCs w:val="32"/>
        </w:rPr>
      </w:pPr>
      <w:r>
        <w:rPr>
          <w:sz w:val="32"/>
          <w:szCs w:val="32"/>
        </w:rPr>
        <w:t>3.与基础资产相关的业务情况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【填写说明：经计划管理人核查，特定原始权益人经营和财务指标无重大不利变化、不存在对偿债能力产生重大影响的事项的，与基础资产相关业务情况的最低信息披露时间要求为年度。】</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bCs/>
          <w:color w:val="000000"/>
          <w:kern w:val="0"/>
          <w:sz w:val="32"/>
          <w:szCs w:val="32"/>
          <w:lang w:bidi="en-US"/>
        </w:rPr>
        <w:t>（六）</w:t>
      </w:r>
      <w:r>
        <w:rPr>
          <w:rFonts w:hint="eastAsia" w:ascii="仿宋_GB2312" w:hAnsi="Times New Roman" w:eastAsia="仿宋_GB2312"/>
          <w:b/>
          <w:color w:val="000000"/>
          <w:kern w:val="0"/>
          <w:sz w:val="32"/>
          <w:szCs w:val="32"/>
          <w:lang w:bidi="en-US"/>
        </w:rPr>
        <w:t>特定原始权益人主要财务情况</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1.最近三年财务报告的审计意见</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若为带强调事项段无保留意见或者保留意见的，应当披露特定原始权益人董事会或者有权机构就所涉及事项作出的说明，以及会计师事务所、注册会计师对于带强调事项段或者保留意见所涉及事项的补充意见，并分析相关事项对偿付能力的影响。注册会计师应当对非标准意见所涉及事项及其影响是否已经消除进行核查并发表核查意见。】</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2.财务会计信息</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【填写说明：披露最近三年及一期财务会计信息，包括但不限于资产负债表、利润表、现金流量表。豁免披露母公司财务报表。】</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3.财务数据分析</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【填写说明：经计划管理人核查，优质发起人经营和财务指标无重大不利变化、不存在对偿债能力产生重大影响的事项的，可以按年度分析财务数据情况。】</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4.有息债务信息</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【填写说明：豁免披露信用融资与担保融资的结构等情况，豁免披露报告期各期末全口径有息债务信息。】</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5.融资情况及信用表现</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【填写说明：列表披露最近一个会计年度末合并报表范围内的授信总额、授信余额、境内外债券余额；最新的、有效期内的公开市场信用评级及资信评级机构名称。】</w:t>
      </w:r>
    </w:p>
    <w:p>
      <w:pPr>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6.其他重大事项</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【填写说明：列表披露最近一个会计年度末对外担保余额、受限资产余额、违约诉讼或仲裁涉案金额。】</w:t>
      </w:r>
    </w:p>
    <w:p>
      <w:pPr>
        <w:adjustRightInd w:val="0"/>
        <w:snapToGrid w:val="0"/>
        <w:spacing w:line="560" w:lineRule="exact"/>
        <w:ind w:firstLine="642" w:firstLineChars="200"/>
        <w:rPr>
          <w:rFonts w:ascii="仿宋_GB2312" w:hAnsi="Times New Roman" w:eastAsia="仿宋_GB2312"/>
          <w:b/>
          <w:bCs/>
          <w:color w:val="000000"/>
          <w:kern w:val="0"/>
          <w:sz w:val="32"/>
          <w:szCs w:val="32"/>
          <w:lang w:bidi="en-US"/>
        </w:rPr>
      </w:pPr>
      <w:r>
        <w:rPr>
          <w:rFonts w:hint="eastAsia" w:ascii="仿宋_GB2312" w:hAnsi="Times New Roman" w:eastAsia="仿宋_GB2312"/>
          <w:b/>
          <w:bCs/>
          <w:color w:val="000000"/>
          <w:kern w:val="0"/>
          <w:sz w:val="32"/>
          <w:szCs w:val="32"/>
          <w:lang w:bidi="en-US"/>
        </w:rPr>
        <w:t>（七）特定原始权益人其他重大事项</w:t>
      </w:r>
    </w:p>
    <w:tbl>
      <w:tblPr>
        <w:tblStyle w:val="11"/>
        <w:tblW w:w="9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13"/>
        <w:gridCol w:w="3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jc w:val="center"/>
              <w:rPr>
                <w:rFonts w:ascii="仿宋_GB2312" w:eastAsia="仿宋_GB2312"/>
                <w:b/>
                <w:kern w:val="0"/>
                <w:szCs w:val="21"/>
                <w:lang w:bidi="en-US"/>
              </w:rPr>
            </w:pPr>
            <w:r>
              <w:rPr>
                <w:rFonts w:hint="eastAsia" w:ascii="仿宋_GB2312" w:eastAsia="仿宋_GB2312"/>
                <w:b/>
                <w:kern w:val="0"/>
                <w:szCs w:val="21"/>
                <w:lang w:bidi="en-US"/>
              </w:rPr>
              <w:t>重大事项核查内容</w:t>
            </w:r>
          </w:p>
        </w:tc>
        <w:tc>
          <w:tcPr>
            <w:tcW w:w="3781" w:type="dxa"/>
          </w:tcPr>
          <w:p>
            <w:pPr>
              <w:pStyle w:val="27"/>
              <w:spacing w:line="240" w:lineRule="auto"/>
              <w:ind w:firstLine="0" w:firstLineChars="0"/>
              <w:jc w:val="center"/>
              <w:rPr>
                <w:sz w:val="21"/>
                <w:szCs w:val="21"/>
              </w:rPr>
            </w:pPr>
            <w:r>
              <w:rPr>
                <w:rFonts w:hint="eastAsia"/>
                <w:sz w:val="21"/>
                <w:szCs w:val="21"/>
              </w:rPr>
              <w:t>核查结论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特定原始权益人是否存在《</w:t>
            </w:r>
            <w:r>
              <w:rPr>
                <w:rFonts w:hint="eastAsia" w:ascii="仿宋_GB2312" w:hAnsi="黑体" w:eastAsia="仿宋_GB2312"/>
                <w:szCs w:val="21"/>
              </w:rPr>
              <w:t>资产支持证券指引第2号</w:t>
            </w:r>
            <w:r>
              <w:rPr>
                <w:rFonts w:hint="eastAsia" w:ascii="仿宋_GB2312" w:eastAsia="仿宋_GB2312"/>
                <w:kern w:val="0"/>
                <w:szCs w:val="21"/>
                <w:lang w:bidi="en-US"/>
              </w:rPr>
              <w:t>》第2.4.4条规定的以下情形：</w:t>
            </w:r>
          </w:p>
        </w:tc>
        <w:tc>
          <w:tcPr>
            <w:tcW w:w="3781" w:type="dxa"/>
          </w:tcPr>
          <w:p>
            <w:pPr>
              <w:pStyle w:val="27"/>
              <w:spacing w:line="240" w:lineRule="auto"/>
              <w:ind w:firstLine="0" w:firstLineChars="0"/>
              <w:rPr>
                <w:b w:val="0"/>
                <w:sz w:val="21"/>
                <w:szCs w:val="21"/>
              </w:rPr>
            </w:pPr>
            <w:r>
              <w:rPr>
                <w:rFonts w:hint="eastAsia"/>
                <w:b w:val="0"/>
                <w:sz w:val="21"/>
                <w:szCs w:val="21"/>
              </w:rPr>
              <w:t>否/</w:t>
            </w:r>
          </w:p>
          <w:p>
            <w:pPr>
              <w:pStyle w:val="27"/>
              <w:spacing w:line="240" w:lineRule="auto"/>
              <w:ind w:firstLine="0" w:firstLineChars="0"/>
              <w:rPr>
                <w:b w:val="0"/>
                <w:sz w:val="21"/>
                <w:szCs w:val="21"/>
              </w:rPr>
            </w:pPr>
            <w:r>
              <w:rPr>
                <w:rFonts w:hint="eastAsia"/>
                <w:b w:val="0"/>
                <w:sz w:val="21"/>
                <w:szCs w:val="21"/>
              </w:rPr>
              <w:t>是，请管理人披露具体情形及原因，核查相关事项对其持续经营能力、偿付能力、融资环境可能造成的不利影响，并结合基础资产类型及特征等审慎确定资产支持证券申报方案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一）特定原始权益人及所属企业集团或者控股股东、实际控制人存在债务违约或延迟支付本息、主体信用评级（如有）下调，或特定原始权益人所在区域、所处行业已发生可能影响企业偿付与融资能力的重大不利变化</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二）特定原始权益人及所属企业集团或者控股股东、实际控制人存在频繁受到监管关注或问询、面临大额诉讼或仲裁、存在被媒体质疑等重大负面舆情，或者机构或其董事、监事、高级管理人员涉嫌违法违规被有权机关调查、被采取强制措施或存在严重失信行为等负面情形。</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特定原始权益人是否存在《</w:t>
            </w:r>
            <w:r>
              <w:rPr>
                <w:rFonts w:hint="eastAsia" w:ascii="仿宋_GB2312" w:hAnsi="黑体" w:eastAsia="仿宋_GB2312"/>
                <w:szCs w:val="21"/>
              </w:rPr>
              <w:t>资产支持证券指引第1号</w:t>
            </w:r>
            <w:r>
              <w:rPr>
                <w:rFonts w:hint="eastAsia" w:ascii="仿宋_GB2312" w:eastAsia="仿宋_GB2312"/>
                <w:kern w:val="0"/>
                <w:szCs w:val="21"/>
                <w:lang w:bidi="en-US"/>
              </w:rPr>
              <w:t>》第3.6.5条规定被媒体质疑的重大事项。</w:t>
            </w:r>
          </w:p>
        </w:tc>
        <w:tc>
          <w:tcPr>
            <w:tcW w:w="3781" w:type="dxa"/>
          </w:tcPr>
          <w:p>
            <w:pPr>
              <w:pStyle w:val="27"/>
              <w:spacing w:line="240" w:lineRule="auto"/>
              <w:ind w:firstLine="0" w:firstLineChars="0"/>
              <w:rPr>
                <w:b w:val="0"/>
                <w:sz w:val="21"/>
                <w:szCs w:val="21"/>
              </w:rPr>
            </w:pPr>
            <w:r>
              <w:rPr>
                <w:rFonts w:hint="eastAsia"/>
                <w:b w:val="0"/>
                <w:sz w:val="21"/>
                <w:szCs w:val="21"/>
              </w:rPr>
              <w:t>否/</w:t>
            </w:r>
          </w:p>
          <w:p>
            <w:pPr>
              <w:pStyle w:val="27"/>
              <w:spacing w:line="240" w:lineRule="auto"/>
              <w:ind w:firstLine="0" w:firstLineChars="0"/>
              <w:rPr>
                <w:b w:val="0"/>
                <w:sz w:val="21"/>
                <w:szCs w:val="21"/>
              </w:rPr>
            </w:pPr>
            <w:r>
              <w:rPr>
                <w:rFonts w:hint="eastAsia"/>
                <w:b w:val="0"/>
                <w:sz w:val="21"/>
                <w:szCs w:val="21"/>
              </w:rPr>
              <w:t>是，请管理人披露具体情形及原因，核查相关事项对其持续经营能力、偿付能力、融资环境可能造成的不利影响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特定原始权益人是否存在《</w:t>
            </w:r>
            <w:r>
              <w:rPr>
                <w:rFonts w:hint="eastAsia" w:ascii="仿宋_GB2312" w:hAnsi="黑体" w:eastAsia="仿宋_GB2312"/>
                <w:szCs w:val="21"/>
              </w:rPr>
              <w:t>资产支持证券指引第2号</w:t>
            </w:r>
            <w:r>
              <w:rPr>
                <w:rFonts w:hint="eastAsia" w:ascii="仿宋_GB2312" w:eastAsia="仿宋_GB2312"/>
                <w:kern w:val="0"/>
                <w:szCs w:val="21"/>
                <w:lang w:bidi="en-US"/>
              </w:rPr>
              <w:t>》第2.4.5条规定的下列情形：</w:t>
            </w:r>
          </w:p>
        </w:tc>
        <w:tc>
          <w:tcPr>
            <w:tcW w:w="3781" w:type="dxa"/>
          </w:tcPr>
          <w:p>
            <w:pPr>
              <w:pStyle w:val="27"/>
              <w:spacing w:line="240" w:lineRule="auto"/>
              <w:ind w:firstLine="0" w:firstLineChars="0"/>
              <w:rPr>
                <w:b w:val="0"/>
                <w:sz w:val="21"/>
                <w:szCs w:val="21"/>
              </w:rPr>
            </w:pPr>
            <w:r>
              <w:rPr>
                <w:rFonts w:hint="eastAsia"/>
                <w:b w:val="0"/>
                <w:sz w:val="21"/>
                <w:szCs w:val="21"/>
              </w:rPr>
              <w:t>不适用/否/</w:t>
            </w:r>
          </w:p>
          <w:p>
            <w:pPr>
              <w:pStyle w:val="27"/>
              <w:spacing w:line="240" w:lineRule="auto"/>
              <w:ind w:firstLine="0" w:firstLineChars="0"/>
              <w:rPr>
                <w:b w:val="0"/>
                <w:sz w:val="21"/>
                <w:szCs w:val="21"/>
              </w:rPr>
            </w:pPr>
            <w:r>
              <w:rPr>
                <w:rFonts w:hint="eastAsia"/>
                <w:b w:val="0"/>
                <w:sz w:val="21"/>
                <w:szCs w:val="21"/>
              </w:rPr>
              <w:t>是，请管理人披露具体情形及原因，核查相关事项对其持续经营能力、偿付能力、融资环境可能造成的不利影响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一）报告期内有息债务类型结构或期限结构发生大幅变化，包括筹资活动现金流量净额持续大额为负或大幅波动、筹资渠道发生较大变化、报告期内现金及现金等价物净增加额持续大额为负、银行借款余额被动大幅减少或低于有息负债总额的30%、银行授信大幅下降、短期债务占比或余额显著上升导致存在债务集中兑付压力等；</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二）合并报表范围内公司债券及资产支持证券存量余额较大且存在显著债务集中兑付压力的，或者报告期内有息负债余额年均增长率超过30%，或者最近一年及一期末有息债务构成以短期债务为主且现金短债比小于1，或者最近一年末资产负债率、有息负债与净资产比例均超出行业平均水平的30%；</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（三）经营活动现金流缺乏可持续性，包括经营活动现金流净额持续大额为负或持续下降、经营活动现金流入金额大幅波动或流入构成大幅变化等；</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四）盈利能力缺乏可持续性且显著影响偿债能力，包括报告期内净利润持续为负，营业收入、净利润持续下滑或大幅波动，毛利率波动较大或与同行业可比企业存在较大差异，净利润依赖于资产处置收益、股票二级市场投资收益、投资性房地产增值等非经常性损益等；</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（五）存在“存贷双高”等财务指标明显异常、财务信息不透明特征；</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（六）资产因抵质押、被查封、冻结、必须具备一定条件才能变现、无法变现、无法用于抵偿债务等情况导致权利受限制的资产账面价值超过总资产的50%；</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（七）控股股东或实际控制人可支配的特定原始权益人、增信机构股权存在高比例质押、冻结或发生诉讼仲裁等事项可能造成其股权结构不稳定。</w:t>
            </w:r>
          </w:p>
        </w:tc>
        <w:tc>
          <w:tcPr>
            <w:tcW w:w="3781" w:type="dxa"/>
          </w:tcPr>
          <w:p>
            <w:pPr>
              <w:pStyle w:val="27"/>
              <w:spacing w:line="240" w:lineRule="auto"/>
              <w:ind w:firstLine="0" w:firstLineChars="0"/>
              <w:rPr>
                <w:b w:val="0"/>
                <w:sz w:val="21"/>
                <w:szCs w:val="21"/>
              </w:rPr>
            </w:pPr>
          </w:p>
        </w:tc>
      </w:tr>
    </w:tbl>
    <w:p>
      <w:pPr>
        <w:widowControl/>
        <w:adjustRightInd w:val="0"/>
        <w:snapToGrid w:val="0"/>
        <w:spacing w:line="560" w:lineRule="exact"/>
        <w:ind w:firstLine="642" w:firstLineChars="200"/>
        <w:rPr>
          <w:rFonts w:ascii="Times New Roman" w:hAnsi="Times New Roman" w:eastAsia="仿宋_GB2312"/>
          <w:b/>
          <w:sz w:val="32"/>
          <w:szCs w:val="32"/>
        </w:rPr>
      </w:pPr>
      <w:r>
        <w:rPr>
          <w:rFonts w:hint="eastAsia" w:ascii="Times New Roman" w:hAnsi="Times New Roman" w:eastAsia="仿宋_GB2312"/>
          <w:b/>
          <w:sz w:val="32"/>
          <w:szCs w:val="32"/>
        </w:rPr>
        <w:t>二、增信机构情况</w:t>
      </w:r>
    </w:p>
    <w:p>
      <w:pPr>
        <w:pStyle w:val="27"/>
        <w:spacing w:line="560" w:lineRule="exact"/>
        <w:ind w:firstLine="643"/>
        <w:rPr>
          <w:sz w:val="32"/>
          <w:szCs w:val="32"/>
        </w:rPr>
      </w:pPr>
      <w:r>
        <w:rPr>
          <w:rFonts w:hint="eastAsia"/>
          <w:sz w:val="32"/>
          <w:szCs w:val="32"/>
        </w:rPr>
        <w:t>（一）增信机构基本情况</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3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公司名称</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股票代码（如有）</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资信评级情况</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法定代表人</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注册资本及实缴资本</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设立日期</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统一社会信用代码</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住所</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所属行业</w:t>
            </w:r>
          </w:p>
        </w:tc>
        <w:tc>
          <w:tcPr>
            <w:tcW w:w="3785" w:type="dxa"/>
            <w:vAlign w:val="center"/>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经营范围</w:t>
            </w:r>
          </w:p>
        </w:tc>
        <w:tc>
          <w:tcPr>
            <w:tcW w:w="3785" w:type="dxa"/>
            <w:vAlign w:val="center"/>
          </w:tcPr>
          <w:p>
            <w:pPr>
              <w:pStyle w:val="27"/>
              <w:spacing w:line="240" w:lineRule="auto"/>
              <w:ind w:firstLine="0" w:firstLineChars="0"/>
              <w:rPr>
                <w:b w:val="0"/>
                <w:sz w:val="21"/>
                <w:szCs w:val="21"/>
              </w:rPr>
            </w:pPr>
          </w:p>
        </w:tc>
      </w:tr>
    </w:tbl>
    <w:p>
      <w:pPr>
        <w:pStyle w:val="27"/>
        <w:spacing w:line="560" w:lineRule="exact"/>
        <w:ind w:firstLine="643"/>
        <w:rPr>
          <w:sz w:val="32"/>
          <w:szCs w:val="32"/>
        </w:rPr>
      </w:pPr>
      <w:r>
        <w:rPr>
          <w:rFonts w:hint="eastAsia"/>
          <w:sz w:val="32"/>
          <w:szCs w:val="32"/>
        </w:rPr>
        <w:t>（二）增信机构内外部决策程序履行情况</w:t>
      </w:r>
    </w:p>
    <w:p>
      <w:pPr>
        <w:pStyle w:val="27"/>
        <w:spacing w:line="560" w:lineRule="exact"/>
        <w:ind w:firstLine="640"/>
        <w:rPr>
          <w:b w:val="0"/>
          <w:sz w:val="32"/>
          <w:szCs w:val="32"/>
        </w:rPr>
      </w:pPr>
      <w:r>
        <w:rPr>
          <w:rFonts w:hint="eastAsia"/>
          <w:b w:val="0"/>
          <w:sz w:val="32"/>
          <w:szCs w:val="32"/>
        </w:rPr>
        <w:t>披露增信机构有权机构、相关主管部门（如需）对其开展本次资产证券化融资事宜的批准情况。</w:t>
      </w:r>
    </w:p>
    <w:p>
      <w:pPr>
        <w:spacing w:line="560" w:lineRule="exact"/>
        <w:ind w:firstLine="642" w:firstLineChars="200"/>
        <w:contextualSpacing/>
        <w:rPr>
          <w:rFonts w:ascii="仿宋_GB2312" w:hAnsi="仿宋" w:eastAsia="仿宋_GB2312" w:cs="Times New Roman"/>
          <w:b/>
          <w:bCs/>
          <w:color w:val="000000" w:themeColor="text1"/>
          <w:sz w:val="32"/>
          <w:szCs w:val="32"/>
        </w:rPr>
      </w:pPr>
      <w:r>
        <w:rPr>
          <w:rFonts w:hint="eastAsia" w:ascii="仿宋_GB2312" w:hAnsi="仿宋" w:eastAsia="仿宋_GB2312" w:cs="Times New Roman"/>
          <w:b/>
          <w:bCs/>
          <w:color w:val="000000" w:themeColor="text1"/>
          <w:sz w:val="32"/>
          <w:szCs w:val="32"/>
        </w:rPr>
        <w:t>（三）治理</w:t>
      </w:r>
      <w:r>
        <w:rPr>
          <w:rFonts w:ascii="仿宋_GB2312" w:hAnsi="仿宋" w:eastAsia="仿宋_GB2312" w:cs="Times New Roman"/>
          <w:b/>
          <w:bCs/>
          <w:color w:val="000000" w:themeColor="text1"/>
          <w:sz w:val="32"/>
          <w:szCs w:val="32"/>
        </w:rPr>
        <w:t>结构、</w:t>
      </w:r>
      <w:r>
        <w:rPr>
          <w:rFonts w:hint="eastAsia" w:ascii="仿宋_GB2312" w:hAnsi="仿宋" w:eastAsia="仿宋_GB2312" w:cs="Times New Roman"/>
          <w:b/>
          <w:bCs/>
          <w:color w:val="000000" w:themeColor="text1"/>
          <w:sz w:val="32"/>
          <w:szCs w:val="32"/>
        </w:rPr>
        <w:t>组织机构设置及运行情况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增信机构的组织结构图如下：</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425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4252" w:type="dxa"/>
          </w:tcPr>
          <w:p>
            <w:pPr>
              <w:spacing w:line="600" w:lineRule="exact"/>
              <w:contextualSpacing/>
              <w:rPr>
                <w:rFonts w:ascii="仿宋_GB2312" w:hAnsi="仿宋" w:eastAsia="仿宋_GB2312" w:cs="Times New Roman"/>
                <w:bCs/>
                <w:sz w:val="30"/>
                <w:szCs w:val="30"/>
              </w:rPr>
            </w:pPr>
          </w:p>
          <w:p>
            <w:pPr>
              <w:spacing w:line="600" w:lineRule="exact"/>
              <w:contextualSpacing/>
              <w:rPr>
                <w:rFonts w:ascii="仿宋_GB2312" w:hAnsi="仿宋" w:eastAsia="仿宋_GB2312" w:cs="Times New Roman"/>
                <w:bCs/>
                <w:sz w:val="30"/>
                <w:szCs w:val="30"/>
              </w:rPr>
            </w:pPr>
          </w:p>
          <w:p>
            <w:pPr>
              <w:spacing w:line="600" w:lineRule="exact"/>
              <w:contextualSpacing/>
              <w:rPr>
                <w:rFonts w:ascii="仿宋_GB2312" w:hAnsi="仿宋" w:eastAsia="仿宋_GB2312" w:cs="Times New Roman"/>
                <w:bCs/>
                <w:sz w:val="30"/>
                <w:szCs w:val="30"/>
              </w:rPr>
            </w:pPr>
          </w:p>
        </w:tc>
      </w:tr>
    </w:tbl>
    <w:p>
      <w:pPr>
        <w:widowControl/>
        <w:adjustRightInd w:val="0"/>
        <w:snapToGrid w:val="0"/>
        <w:spacing w:line="560" w:lineRule="exact"/>
        <w:ind w:firstLine="642" w:firstLineChars="200"/>
        <w:rPr>
          <w:rFonts w:ascii="仿宋_GB2312" w:hAnsi="仿宋" w:eastAsia="仿宋_GB2312" w:cs="Times New Roman"/>
          <w:b/>
          <w:bCs/>
          <w:color w:val="000000" w:themeColor="text1"/>
          <w:sz w:val="32"/>
          <w:szCs w:val="32"/>
        </w:rPr>
      </w:pPr>
      <w:r>
        <w:rPr>
          <w:rFonts w:hint="eastAsia" w:ascii="仿宋_GB2312" w:hAnsi="仿宋" w:eastAsia="仿宋_GB2312" w:cs="Times New Roman"/>
          <w:b/>
          <w:bCs/>
          <w:color w:val="000000" w:themeColor="text1"/>
          <w:sz w:val="32"/>
          <w:szCs w:val="32"/>
        </w:rPr>
        <w:t>（四）主营业务及财务情况</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1.主营业务情况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若增信机构季度或半年度主营业务板块及其运营情况未发生重大变化的，计划管理人可以仅披露收入占近一年或近一期主营业务收入或毛利润比重百分之二十以上的主要业务板块运营情况，豁免季度或半年度业务运营情况分析。】</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32"/>
        <w:gridCol w:w="947"/>
        <w:gridCol w:w="947"/>
        <w:gridCol w:w="94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3032" w:type="dxa"/>
            <w:vMerge w:val="restart"/>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主要版块营业数据</w:t>
            </w:r>
          </w:p>
        </w:tc>
        <w:tc>
          <w:tcPr>
            <w:tcW w:w="1894" w:type="dxa"/>
            <w:gridSpan w:val="2"/>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最近一期末</w:t>
            </w:r>
          </w:p>
        </w:tc>
        <w:tc>
          <w:tcPr>
            <w:tcW w:w="1894" w:type="dxa"/>
            <w:gridSpan w:val="2"/>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2022年末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3032" w:type="dxa"/>
            <w:vMerge w:val="continue"/>
            <w:vAlign w:val="center"/>
          </w:tcPr>
          <w:p>
            <w:pPr>
              <w:contextualSpacing/>
              <w:jc w:val="center"/>
              <w:rPr>
                <w:rFonts w:ascii="仿宋_GB2312" w:hAnsi="仿宋" w:eastAsia="仿宋_GB2312" w:cs="Times New Roman"/>
                <w:bCs/>
                <w:color w:val="000000" w:themeColor="text1"/>
                <w:szCs w:val="21"/>
              </w:rPr>
            </w:pP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板块1</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板块2</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板块1</w:t>
            </w:r>
          </w:p>
        </w:tc>
        <w:tc>
          <w:tcPr>
            <w:tcW w:w="947" w:type="dxa"/>
            <w:vAlign w:val="center"/>
          </w:tcPr>
          <w:p>
            <w:pPr>
              <w:contextualSpacing/>
              <w:jc w:val="center"/>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板块2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2"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营业收入</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2"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占主营业务收入比重</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2"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毛利润</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2"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占毛利润比重</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2"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毛利率</w:t>
            </w: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c>
          <w:tcPr>
            <w:tcW w:w="947" w:type="dxa"/>
          </w:tcPr>
          <w:p>
            <w:pPr>
              <w:contextualSpacing/>
              <w:rPr>
                <w:rFonts w:ascii="仿宋_GB2312" w:hAnsi="仿宋" w:eastAsia="仿宋_GB2312" w:cs="Times New Roman"/>
                <w:bCs/>
                <w:color w:val="000000" w:themeColor="text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32" w:type="dxa"/>
          </w:tcPr>
          <w:p>
            <w:pPr>
              <w:contextualSpacing/>
              <w:rPr>
                <w:rFonts w:ascii="仿宋_GB2312" w:hAnsi="仿宋" w:eastAsia="仿宋_GB2312" w:cs="Times New Roman"/>
                <w:b/>
                <w:bCs/>
                <w:color w:val="000000" w:themeColor="text1"/>
                <w:szCs w:val="21"/>
              </w:rPr>
            </w:pPr>
            <w:r>
              <w:rPr>
                <w:rFonts w:hint="eastAsia" w:ascii="仿宋_GB2312" w:hAnsi="仿宋" w:eastAsia="仿宋_GB2312" w:cs="Times New Roman"/>
                <w:b/>
                <w:bCs/>
                <w:color w:val="000000" w:themeColor="text1"/>
                <w:szCs w:val="21"/>
              </w:rPr>
              <w:t>主营业务毛利率</w:t>
            </w:r>
          </w:p>
        </w:tc>
        <w:tc>
          <w:tcPr>
            <w:tcW w:w="1894" w:type="dxa"/>
            <w:gridSpan w:val="2"/>
          </w:tcPr>
          <w:p>
            <w:pPr>
              <w:contextualSpacing/>
              <w:rPr>
                <w:rFonts w:ascii="仿宋_GB2312" w:hAnsi="仿宋" w:eastAsia="仿宋_GB2312" w:cs="Times New Roman"/>
                <w:bCs/>
                <w:color w:val="000000" w:themeColor="text1"/>
                <w:szCs w:val="21"/>
              </w:rPr>
            </w:pPr>
          </w:p>
        </w:tc>
        <w:tc>
          <w:tcPr>
            <w:tcW w:w="1894" w:type="dxa"/>
            <w:gridSpan w:val="2"/>
          </w:tcPr>
          <w:p>
            <w:pPr>
              <w:contextualSpacing/>
              <w:rPr>
                <w:rFonts w:ascii="仿宋_GB2312" w:hAnsi="仿宋" w:eastAsia="仿宋_GB2312" w:cs="Times New Roman"/>
                <w:bCs/>
                <w:color w:val="000000" w:themeColor="text1"/>
                <w:szCs w:val="21"/>
              </w:rPr>
            </w:pPr>
          </w:p>
        </w:tc>
      </w:tr>
    </w:tbl>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2.财务会计信息</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披露最近一年及一期财务会计信息，包括但不限于资产负债表、利润表、现金流量表、最近一个会计年度末合并报表范围内授信总额、授信余额、境内外债券余额、对外担保情况。豁免披露母公司财务报表。】</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3.财务数据分析</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【填写说明：经计划管理人核查，增信机构经营和财务指标无重大不利变化、不存在对偿债能力产生重大影响的事项的，可以按年度分析财务数据情况。】</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4.业务审批管理</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【填写说明：若非专业融资担保公司，豁免披露。】</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5.其他资产权利限制情况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【填写说明：豁免披露】。</w:t>
      </w:r>
    </w:p>
    <w:p>
      <w:pPr>
        <w:widowControl/>
        <w:adjustRightInd w:val="0"/>
        <w:snapToGrid w:val="0"/>
        <w:spacing w:line="560" w:lineRule="exact"/>
        <w:ind w:firstLine="642" w:firstLineChars="200"/>
        <w:rPr>
          <w:rFonts w:ascii="仿宋_GB2312" w:hAnsi="Times New Roman" w:eastAsia="仿宋_GB2312"/>
          <w:b/>
          <w:color w:val="000000"/>
          <w:kern w:val="0"/>
          <w:sz w:val="32"/>
          <w:szCs w:val="32"/>
          <w:lang w:bidi="en-US"/>
        </w:rPr>
      </w:pPr>
      <w:r>
        <w:rPr>
          <w:rFonts w:hint="eastAsia" w:ascii="仿宋_GB2312" w:hAnsi="Times New Roman" w:eastAsia="仿宋_GB2312"/>
          <w:b/>
          <w:color w:val="000000"/>
          <w:kern w:val="0"/>
          <w:sz w:val="32"/>
          <w:szCs w:val="32"/>
          <w:lang w:bidi="en-US"/>
        </w:rPr>
        <w:t>6.融资担保公司指标情况</w:t>
      </w:r>
    </w:p>
    <w:p>
      <w:pPr>
        <w:spacing w:line="560" w:lineRule="exact"/>
        <w:ind w:firstLine="640" w:firstLineChars="200"/>
        <w:contextualSpacing/>
        <w:rPr>
          <w:rFonts w:ascii="仿宋_GB2312" w:hAnsi="仿宋" w:eastAsia="仿宋_GB2312" w:cs="Times New Roman"/>
          <w:bCs/>
          <w:color w:val="000000" w:themeColor="text1"/>
          <w:sz w:val="32"/>
          <w:szCs w:val="32"/>
        </w:rPr>
      </w:pPr>
      <w:r>
        <w:rPr>
          <w:rFonts w:hint="eastAsia" w:ascii="仿宋_GB2312" w:hAnsi="仿宋" w:eastAsia="仿宋_GB2312" w:cs="Times New Roman"/>
          <w:bCs/>
          <w:color w:val="000000" w:themeColor="text1"/>
          <w:sz w:val="32"/>
          <w:szCs w:val="32"/>
        </w:rPr>
        <w:t>【填写说明：增信机构若非专业融资担保公司，豁免披露；若为专业融资担保公司，计划管理人应当披露其具备担保业务资质、杠杆率等指标满足相关主管部门监管要求的具体情况。】</w:t>
      </w:r>
    </w:p>
    <w:p>
      <w:pPr>
        <w:widowControl/>
        <w:adjustRightInd w:val="0"/>
        <w:snapToGrid w:val="0"/>
        <w:spacing w:line="560" w:lineRule="exact"/>
        <w:ind w:firstLine="642" w:firstLineChars="200"/>
        <w:rPr>
          <w:rFonts w:ascii="Times New Roman" w:hAnsi="Times New Roman" w:eastAsia="仿宋_GB2312"/>
          <w:b/>
          <w:sz w:val="32"/>
          <w:szCs w:val="32"/>
        </w:rPr>
      </w:pPr>
      <w:r>
        <w:rPr>
          <w:rFonts w:hint="eastAsia" w:ascii="Times New Roman" w:hAnsi="Times New Roman" w:eastAsia="仿宋_GB2312"/>
          <w:b/>
          <w:sz w:val="32"/>
          <w:szCs w:val="32"/>
        </w:rPr>
        <w:t>（三）增信机构其他重大事项</w:t>
      </w:r>
    </w:p>
    <w:tbl>
      <w:tblPr>
        <w:tblStyle w:val="11"/>
        <w:tblW w:w="9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13"/>
        <w:gridCol w:w="3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813" w:type="dxa"/>
          </w:tcPr>
          <w:p>
            <w:pPr>
              <w:widowControl/>
              <w:adjustRightInd w:val="0"/>
              <w:snapToGrid w:val="0"/>
              <w:jc w:val="center"/>
              <w:rPr>
                <w:rFonts w:ascii="仿宋_GB2312" w:eastAsia="仿宋_GB2312"/>
                <w:b/>
                <w:kern w:val="0"/>
                <w:szCs w:val="21"/>
                <w:lang w:bidi="en-US"/>
              </w:rPr>
            </w:pPr>
            <w:r>
              <w:rPr>
                <w:rFonts w:hint="eastAsia" w:ascii="仿宋_GB2312" w:eastAsia="仿宋_GB2312"/>
                <w:b/>
                <w:kern w:val="0"/>
                <w:szCs w:val="21"/>
                <w:lang w:bidi="en-US"/>
              </w:rPr>
              <w:t>重大事项核查内容</w:t>
            </w:r>
          </w:p>
        </w:tc>
        <w:tc>
          <w:tcPr>
            <w:tcW w:w="3781" w:type="dxa"/>
          </w:tcPr>
          <w:p>
            <w:pPr>
              <w:pStyle w:val="27"/>
              <w:spacing w:line="240" w:lineRule="auto"/>
              <w:ind w:firstLine="0" w:firstLineChars="0"/>
              <w:jc w:val="center"/>
              <w:rPr>
                <w:sz w:val="21"/>
                <w:szCs w:val="21"/>
              </w:rPr>
            </w:pPr>
            <w:r>
              <w:rPr>
                <w:rFonts w:hint="eastAsia"/>
                <w:sz w:val="21"/>
                <w:szCs w:val="21"/>
              </w:rPr>
              <w:t>核查结论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增信机构是否存在《</w:t>
            </w:r>
            <w:r>
              <w:rPr>
                <w:rFonts w:hint="eastAsia" w:ascii="仿宋_GB2312" w:hAnsi="黑体" w:eastAsia="仿宋_GB2312"/>
                <w:szCs w:val="21"/>
              </w:rPr>
              <w:t>资产支持证券指引第2号</w:t>
            </w:r>
            <w:r>
              <w:rPr>
                <w:rFonts w:hint="eastAsia" w:ascii="仿宋_GB2312" w:eastAsia="仿宋_GB2312"/>
                <w:kern w:val="0"/>
                <w:szCs w:val="21"/>
                <w:lang w:bidi="en-US"/>
              </w:rPr>
              <w:t>》第2.4.4条规定的以下情形：</w:t>
            </w:r>
          </w:p>
        </w:tc>
        <w:tc>
          <w:tcPr>
            <w:tcW w:w="3781" w:type="dxa"/>
          </w:tcPr>
          <w:p>
            <w:pPr>
              <w:pStyle w:val="27"/>
              <w:spacing w:line="240" w:lineRule="auto"/>
              <w:ind w:firstLine="0" w:firstLineChars="0"/>
              <w:rPr>
                <w:b w:val="0"/>
                <w:sz w:val="21"/>
                <w:szCs w:val="21"/>
              </w:rPr>
            </w:pPr>
            <w:r>
              <w:rPr>
                <w:rFonts w:hint="eastAsia"/>
                <w:b w:val="0"/>
                <w:sz w:val="21"/>
                <w:szCs w:val="21"/>
              </w:rPr>
              <w:t>否/</w:t>
            </w:r>
          </w:p>
          <w:p>
            <w:pPr>
              <w:pStyle w:val="27"/>
              <w:spacing w:line="240" w:lineRule="auto"/>
              <w:ind w:firstLine="0" w:firstLineChars="0"/>
              <w:rPr>
                <w:b w:val="0"/>
                <w:sz w:val="21"/>
                <w:szCs w:val="21"/>
              </w:rPr>
            </w:pPr>
            <w:r>
              <w:rPr>
                <w:rFonts w:hint="eastAsia"/>
                <w:b w:val="0"/>
                <w:sz w:val="21"/>
                <w:szCs w:val="21"/>
              </w:rPr>
              <w:t>是，请管理人披露具体情形及原因，核查相关事项对其持续经营能力、偿付能力、融资环境可能造成的不利影响，并结合基础资产类型及特征等审慎确定资产支持证券申报方案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（一）增信机构及所属企业集团或者控股股东、实际控制人存在债务违约或延迟支付本息、主体信用评级（如有）下调，或特定原始权益人所在区域、所处行业已发生可能影响企业偿付与融资能力的重大不利变化</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二）增信机构及所属企业集团或者控股股东、实际控制人存在频繁受到监管关注或问询、面临大额诉讼或仲裁、存在被媒体质疑等重大负面舆情，或者机构或其董事、监事、高级管理人员涉嫌违法违规被有权机关调查、被采取强制措施或存在严重失信行为等负面情形。</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增信机构是否存在《</w:t>
            </w:r>
            <w:r>
              <w:rPr>
                <w:rFonts w:hint="eastAsia" w:ascii="仿宋_GB2312" w:hAnsi="黑体" w:eastAsia="仿宋_GB2312"/>
                <w:szCs w:val="21"/>
              </w:rPr>
              <w:t>资产支持证券指引第2号</w:t>
            </w:r>
            <w:r>
              <w:rPr>
                <w:rFonts w:hint="eastAsia" w:ascii="仿宋_GB2312" w:eastAsia="仿宋_GB2312"/>
                <w:kern w:val="0"/>
                <w:szCs w:val="21"/>
                <w:lang w:bidi="en-US"/>
              </w:rPr>
              <w:t>》第2.4.5条规定的下列情形：</w:t>
            </w:r>
          </w:p>
        </w:tc>
        <w:tc>
          <w:tcPr>
            <w:tcW w:w="3781" w:type="dxa"/>
          </w:tcPr>
          <w:p>
            <w:pPr>
              <w:pStyle w:val="27"/>
              <w:spacing w:line="240" w:lineRule="auto"/>
              <w:ind w:firstLine="0" w:firstLineChars="0"/>
              <w:rPr>
                <w:b w:val="0"/>
                <w:sz w:val="21"/>
                <w:szCs w:val="21"/>
              </w:rPr>
            </w:pPr>
            <w:r>
              <w:rPr>
                <w:rFonts w:hint="eastAsia"/>
                <w:b w:val="0"/>
                <w:sz w:val="21"/>
                <w:szCs w:val="21"/>
              </w:rPr>
              <w:t>不适用/否/</w:t>
            </w:r>
          </w:p>
          <w:p>
            <w:pPr>
              <w:pStyle w:val="27"/>
              <w:spacing w:line="240" w:lineRule="auto"/>
              <w:ind w:firstLine="0" w:firstLineChars="0"/>
              <w:rPr>
                <w:b w:val="0"/>
                <w:sz w:val="21"/>
                <w:szCs w:val="21"/>
              </w:rPr>
            </w:pPr>
            <w:r>
              <w:rPr>
                <w:rFonts w:hint="eastAsia"/>
                <w:b w:val="0"/>
                <w:sz w:val="21"/>
                <w:szCs w:val="21"/>
              </w:rPr>
              <w:t>是，请管理人披露具体情形及原因，核查相关事项对其持续经营能力、偿付能力、融资环境可能造成的不利影响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一）报告期内有息债务类型结构或期限结构发生大幅变化，包括筹资活动现金流量净额持续大额为负或大幅波动、筹资渠道发生较大变化、报告期内现金及现金等价物净增加额持续大额为负、银行借款余额被动大幅减少或低于有息负债总额的30%、银行授信大幅下降、短期债务占比或余额显著上升导致存在债务集中兑付压力等；</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二）合并报表范围内公司债券及资产支持证券存量余额较大且存在显著债务集中兑付压力的，或者报告期内有息负债余额年均增长率超过30%，或者最近一年及一期末有息债务构成以短期债务为主且现金短债比小于1，或者最近一年末资产负债率、有息负债与净资产比例均超出行业平均水平的30%；</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（三）经营活动现金流缺乏可持续性，包括经营活动现金流净额持续大额为负或持续下降、经营活动现金流入金额大幅波动或流入构成大幅变化等；</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四）盈利能力缺乏可持续性且显著影响偿债能力，包括报告期内净利润持续为负，营业收入、净利润持续下滑或大幅波动，毛利率波动较大或与同行业可比企业存在较大差异，净利润依赖于资产处置收益、股票二级市场投资收益、投资性房地产增值等非经常性损益等；</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（五）存在“存贷双高”等财务指标明显异常、财务信息不透明特征；</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（六）资产因抵质押、被查封、冻结、必须具备一定条件才能变现、无法变现、无法用于抵偿债务等情况导致权利受限制的资产账面价值超过总资产的50%；</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（七）控股股东或实际控制人可支配的特定原始权益人、增信机构股权存在高比例质押、冻结或发生诉讼仲裁等事项可能造成其股权结构不稳定。</w:t>
            </w:r>
          </w:p>
        </w:tc>
        <w:tc>
          <w:tcPr>
            <w:tcW w:w="3781" w:type="dxa"/>
          </w:tcPr>
          <w:p>
            <w:pPr>
              <w:pStyle w:val="27"/>
              <w:spacing w:line="240" w:lineRule="auto"/>
              <w:ind w:firstLine="0" w:firstLineChars="0"/>
              <w:rPr>
                <w:b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13" w:type="dxa"/>
          </w:tcPr>
          <w:p>
            <w:pPr>
              <w:widowControl/>
              <w:adjustRightInd w:val="0"/>
              <w:snapToGrid w:val="0"/>
              <w:rPr>
                <w:rFonts w:ascii="仿宋_GB2312" w:eastAsia="仿宋_GB2312"/>
                <w:kern w:val="0"/>
                <w:szCs w:val="21"/>
                <w:lang w:bidi="en-US"/>
              </w:rPr>
            </w:pPr>
            <w:r>
              <w:rPr>
                <w:rFonts w:hint="eastAsia" w:ascii="仿宋_GB2312" w:eastAsia="仿宋_GB2312"/>
                <w:kern w:val="0"/>
                <w:szCs w:val="21"/>
                <w:lang w:bidi="en-US"/>
              </w:rPr>
              <w:t>增信机构是否存在《</w:t>
            </w:r>
            <w:r>
              <w:rPr>
                <w:rFonts w:hint="eastAsia" w:ascii="仿宋_GB2312" w:hAnsi="黑体" w:eastAsia="仿宋_GB2312"/>
                <w:szCs w:val="21"/>
              </w:rPr>
              <w:t>资产支持证券指引第2号</w:t>
            </w:r>
            <w:r>
              <w:rPr>
                <w:rFonts w:hint="eastAsia" w:ascii="仿宋_GB2312" w:eastAsia="仿宋_GB2312"/>
                <w:kern w:val="0"/>
                <w:szCs w:val="21"/>
                <w:lang w:bidi="en-US"/>
              </w:rPr>
              <w:t>》第2.4.6条规定的最近两年内应当不存在因严重违法失信行为，被有权部门认定为失信被执行人、重大税收违法案件当事人或涉金融严重失信人的情形。</w:t>
            </w:r>
          </w:p>
        </w:tc>
        <w:tc>
          <w:tcPr>
            <w:tcW w:w="3781" w:type="dxa"/>
          </w:tcPr>
          <w:p>
            <w:pPr>
              <w:pStyle w:val="27"/>
              <w:spacing w:line="240" w:lineRule="auto"/>
              <w:ind w:firstLine="0" w:firstLineChars="0"/>
              <w:rPr>
                <w:b w:val="0"/>
                <w:sz w:val="21"/>
                <w:szCs w:val="21"/>
              </w:rPr>
            </w:pPr>
            <w:r>
              <w:rPr>
                <w:rFonts w:hint="eastAsia"/>
                <w:b w:val="0"/>
                <w:sz w:val="21"/>
                <w:szCs w:val="21"/>
              </w:rPr>
              <w:t>否/</w:t>
            </w:r>
          </w:p>
          <w:p>
            <w:pPr>
              <w:pStyle w:val="27"/>
              <w:spacing w:line="240" w:lineRule="auto"/>
              <w:ind w:firstLine="0" w:firstLineChars="0"/>
              <w:rPr>
                <w:b w:val="0"/>
                <w:sz w:val="21"/>
                <w:szCs w:val="21"/>
              </w:rPr>
            </w:pPr>
            <w:r>
              <w:rPr>
                <w:rFonts w:hint="eastAsia"/>
                <w:b w:val="0"/>
                <w:sz w:val="21"/>
                <w:szCs w:val="21"/>
              </w:rPr>
              <w:t>是，请管理人披露具体情形及原因，核查相关事项对其持续经营能力、偿付能力、融资环境可能造成的不利影响</w:t>
            </w:r>
          </w:p>
        </w:tc>
      </w:tr>
    </w:tbl>
    <w:p>
      <w:pPr>
        <w:adjustRightInd w:val="0"/>
        <w:snapToGrid w:val="0"/>
        <w:spacing w:line="560" w:lineRule="exact"/>
        <w:jc w:val="left"/>
        <w:outlineLvl w:val="0"/>
        <w:rPr>
          <w:rFonts w:ascii="仿宋_GB2312" w:hAnsi="黑体" w:eastAsia="仿宋_GB2312"/>
          <w:sz w:val="30"/>
          <w:szCs w:val="30"/>
        </w:rPr>
      </w:pPr>
    </w:p>
    <w:sectPr>
      <w:headerReference r:id="rId4" w:type="default"/>
      <w:footerReference r:id="rId6" w:type="default"/>
      <w:headerReference r:id="rId5"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等线">
    <w:altName w:val="仿宋_GB2312"/>
    <w:panose1 w:val="00000000000000000000"/>
    <w:charset w:val="86"/>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等线 Light">
    <w:altName w:val="仿宋_GB2312"/>
    <w:panose1 w:val="00000000000000000000"/>
    <w:charset w:val="86"/>
    <w:family w:val="auto"/>
    <w:pitch w:val="default"/>
    <w:sig w:usb0="00000000" w:usb1="00000000" w:usb2="00000016" w:usb3="00000000" w:csb0="0004000F" w:csb1="00000000"/>
  </w:font>
  <w:font w:name="方正大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楷体_GB2312">
    <w:panose1 w:val="02000000000000000000"/>
    <w:charset w:val="86"/>
    <w:family w:val="modern"/>
    <w:pitch w:val="default"/>
    <w:sig w:usb0="A00002BF" w:usb1="184F6CFA" w:usb2="00000012"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Times">
    <w:altName w:val="Times New Roman"/>
    <w:panose1 w:val="02020603050405020304"/>
    <w:charset w:val="00"/>
    <w:family w:val="roman"/>
    <w:pitch w:val="default"/>
    <w:sig w:usb0="00000000" w:usb1="00000000" w:usb2="00000000" w:usb3="00000000" w:csb0="00000001"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等线">
    <w:altName w:val="阿里巴巴普惠体 R"/>
    <w:panose1 w:val="00000000000000000000"/>
    <w:charset w:val="00"/>
    <w:family w:val="auto"/>
    <w:pitch w:val="default"/>
    <w:sig w:usb0="00000000" w:usb1="00000000" w:usb2="00000000" w:usb3="00000000" w:csb0="00000000" w:csb1="00000000"/>
  </w:font>
  <w:font w:name="阿里巴巴普惠体 R">
    <w:panose1 w:val="00020600040101010101"/>
    <w:charset w:val="86"/>
    <w:family w:val="auto"/>
    <w:pitch w:val="default"/>
    <w:sig w:usb0="A00002FF" w:usb1="7ACF7CFB" w:usb2="0000001E"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jc w:val="center"/>
      <w:rPr>
        <w:rStyle w:val="13"/>
      </w:rPr>
    </w:pPr>
  </w:p>
  <w:p>
    <w:pPr>
      <w:pStyle w:val="6"/>
      <w:jc w:val="right"/>
      <w:rPr>
        <w:rFonts w:ascii="仿宋_GB2312" w:hAnsi="仿宋_GB2312" w:eastAsia="仿宋_GB2312" w:cs="仿宋_GB2312"/>
      </w:rPr>
    </w:pPr>
    <w:r>
      <w:rPr>
        <w:rFonts w:hint="eastAsia" w:ascii="仿宋_GB2312" w:hAnsi="仿宋_GB2312" w:eastAsia="仿宋_GB2312" w:cs="仿宋_GB2312"/>
        <w:bCs/>
        <w:sz w:val="28"/>
      </w:rPr>
      <w:t>－</w:t>
    </w:r>
    <w:r>
      <w:rPr>
        <w:rFonts w:hint="eastAsia" w:ascii="仿宋_GB2312" w:hAnsi="仿宋_GB2312" w:eastAsia="仿宋_GB2312" w:cs="仿宋_GB2312"/>
        <w:sz w:val="28"/>
      </w:rPr>
      <w:fldChar w:fldCharType="begin"/>
    </w:r>
    <w:r>
      <w:rPr>
        <w:rFonts w:hint="eastAsia" w:ascii="仿宋_GB2312" w:hAnsi="仿宋_GB2312" w:eastAsia="仿宋_GB2312" w:cs="仿宋_GB2312"/>
        <w:sz w:val="28"/>
      </w:rPr>
      <w:instrText xml:space="preserve"> PAGE </w:instrText>
    </w:r>
    <w:r>
      <w:rPr>
        <w:rFonts w:hint="eastAsia" w:ascii="仿宋_GB2312" w:hAnsi="仿宋_GB2312" w:eastAsia="仿宋_GB2312" w:cs="仿宋_GB2312"/>
        <w:sz w:val="28"/>
      </w:rPr>
      <w:fldChar w:fldCharType="separate"/>
    </w:r>
    <w:r>
      <w:rPr>
        <w:rFonts w:ascii="仿宋_GB2312" w:hAnsi="仿宋_GB2312" w:eastAsia="仿宋_GB2312" w:cs="仿宋_GB2312"/>
        <w:sz w:val="28"/>
      </w:rPr>
      <w:t>29</w:t>
    </w:r>
    <w:r>
      <w:rPr>
        <w:rFonts w:hint="eastAsia" w:ascii="仿宋_GB2312" w:hAnsi="仿宋_GB2312" w:eastAsia="仿宋_GB2312" w:cs="仿宋_GB2312"/>
        <w:sz w:val="28"/>
      </w:rPr>
      <w:fldChar w:fldCharType="end"/>
    </w:r>
    <w:r>
      <w:rPr>
        <w:rFonts w:hint="eastAsia" w:ascii="仿宋_GB2312" w:hAnsi="仿宋_GB2312" w:eastAsia="仿宋_GB2312" w:cs="仿宋_GB2312"/>
        <w:bCs/>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jc w:val="center"/>
      <w:rPr>
        <w:rStyle w:val="13"/>
      </w:rPr>
    </w:pPr>
  </w:p>
  <w:p>
    <w:pPr>
      <w:pStyle w:val="6"/>
      <w:rPr>
        <w:rFonts w:ascii="仿宋_GB2312" w:hAnsi="仿宋_GB2312" w:eastAsia="仿宋_GB2312" w:cs="仿宋_GB2312"/>
      </w:rPr>
    </w:pPr>
    <w:r>
      <w:rPr>
        <w:rFonts w:hint="eastAsia" w:ascii="仿宋_GB2312" w:hAnsi="仿宋_GB2312" w:eastAsia="仿宋_GB2312" w:cs="仿宋_GB2312"/>
        <w:bCs/>
        <w:sz w:val="28"/>
      </w:rPr>
      <w:t>－</w:t>
    </w:r>
    <w:r>
      <w:rPr>
        <w:rFonts w:hint="eastAsia" w:ascii="仿宋_GB2312" w:hAnsi="仿宋_GB2312" w:eastAsia="仿宋_GB2312" w:cs="仿宋_GB2312"/>
        <w:sz w:val="28"/>
      </w:rPr>
      <w:fldChar w:fldCharType="begin"/>
    </w:r>
    <w:r>
      <w:rPr>
        <w:rFonts w:hint="eastAsia" w:ascii="仿宋_GB2312" w:hAnsi="仿宋_GB2312" w:eastAsia="仿宋_GB2312" w:cs="仿宋_GB2312"/>
        <w:sz w:val="28"/>
      </w:rPr>
      <w:instrText xml:space="preserve"> PAGE </w:instrText>
    </w:r>
    <w:r>
      <w:rPr>
        <w:rFonts w:hint="eastAsia" w:ascii="仿宋_GB2312" w:hAnsi="仿宋_GB2312" w:eastAsia="仿宋_GB2312" w:cs="仿宋_GB2312"/>
        <w:sz w:val="28"/>
      </w:rPr>
      <w:fldChar w:fldCharType="separate"/>
    </w:r>
    <w:r>
      <w:rPr>
        <w:rFonts w:ascii="仿宋_GB2312" w:hAnsi="仿宋_GB2312" w:eastAsia="仿宋_GB2312" w:cs="仿宋_GB2312"/>
        <w:sz w:val="28"/>
      </w:rPr>
      <w:t>30</w:t>
    </w:r>
    <w:r>
      <w:rPr>
        <w:rFonts w:hint="eastAsia" w:ascii="仿宋_GB2312" w:hAnsi="仿宋_GB2312" w:eastAsia="仿宋_GB2312" w:cs="仿宋_GB2312"/>
        <w:sz w:val="28"/>
      </w:rPr>
      <w:fldChar w:fldCharType="end"/>
    </w:r>
    <w:r>
      <w:rPr>
        <w:rFonts w:hint="eastAsia" w:ascii="仿宋_GB2312" w:hAnsi="仿宋_GB2312" w:eastAsia="仿宋_GB2312" w:cs="仿宋_GB2312"/>
        <w:bCs/>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0">
    <w:p>
      <w:r>
        <w:separator/>
      </w:r>
    </w:p>
  </w:footnote>
  <w:footnote w:type="continuationSeparator" w:id="11">
    <w:p>
      <w:r>
        <w:continuationSeparator/>
      </w:r>
    </w:p>
  </w:footnote>
  <w:footnote w:id="0">
    <w:p>
      <w:pPr>
        <w:pStyle w:val="8"/>
        <w:rPr>
          <w:rFonts w:ascii="宋体" w:hAnsi="宋体" w:eastAsia="宋体"/>
        </w:rPr>
      </w:pPr>
      <w:r>
        <w:rPr>
          <w:rStyle w:val="15"/>
          <w:rFonts w:ascii="宋体" w:hAnsi="宋体" w:eastAsia="宋体"/>
        </w:rPr>
        <w:footnoteRef/>
      </w:r>
      <w:r>
        <w:rPr>
          <w:rFonts w:hint="eastAsia" w:ascii="宋体" w:hAnsi="宋体" w:eastAsia="宋体"/>
        </w:rPr>
        <w:t>带有“□”的条款或表述可任意选择适用，带有“○”的条款或表述应至少择一适用。如选择适用的，请保留相应内容；如不适用的，请删除相关表述；并根据实际情况调整条款顺序。</w:t>
      </w:r>
    </w:p>
  </w:footnote>
  <w:footnote w:id="1">
    <w:p>
      <w:pPr>
        <w:pStyle w:val="8"/>
        <w:rPr>
          <w:rFonts w:ascii="宋体" w:hAnsi="宋体" w:eastAsia="宋体"/>
        </w:rPr>
      </w:pPr>
      <w:r>
        <w:rPr>
          <w:rStyle w:val="15"/>
          <w:rFonts w:ascii="宋体" w:hAnsi="宋体" w:eastAsia="宋体"/>
        </w:rPr>
        <w:footnoteRef/>
      </w:r>
      <w:r>
        <w:rPr>
          <w:rFonts w:hint="eastAsia" w:ascii="宋体" w:hAnsi="宋体" w:eastAsia="宋体"/>
        </w:rPr>
        <w:t>发行人披露的重要权益投资情况通常为最近一年末的相关情况，如最近一期或截至募集说明书签署日权益投资情况发生较大变化的，应补充披露。</w:t>
      </w:r>
    </w:p>
  </w:footnote>
  <w:footnote w:id="2">
    <w:p>
      <w:pPr>
        <w:pStyle w:val="8"/>
      </w:pPr>
      <w:r>
        <w:rPr>
          <w:rStyle w:val="15"/>
          <w:rFonts w:ascii="宋体" w:hAnsi="宋体" w:eastAsia="宋体"/>
        </w:rPr>
        <w:footnoteRef/>
      </w:r>
      <w:r>
        <w:rPr>
          <w:rFonts w:hint="eastAsia" w:ascii="宋体" w:hAnsi="宋体" w:eastAsia="宋体"/>
        </w:rPr>
        <w:t>重要参股公司、合联营企业通常指发行人持有的参股公司、合联营企业账面价值占发行人总资产比例超过</w:t>
      </w:r>
      <w:r>
        <w:rPr>
          <w:rFonts w:ascii="宋体" w:hAnsi="宋体" w:eastAsia="宋体"/>
        </w:rPr>
        <w:t>10%的，或获得的投资收益占发行人当年实现的营业收入超过10%的，发行人可根据自身情况加以判断披露。</w:t>
      </w:r>
    </w:p>
  </w:footnote>
  <w:footnote w:id="3">
    <w:p>
      <w:pPr>
        <w:pStyle w:val="8"/>
        <w:jc w:val="both"/>
        <w:rPr>
          <w:rFonts w:ascii="宋体" w:hAnsi="宋体" w:eastAsia="宋体"/>
        </w:rPr>
      </w:pPr>
      <w:r>
        <w:rPr>
          <w:rStyle w:val="15"/>
          <w:rFonts w:ascii="宋体" w:hAnsi="宋体" w:eastAsia="宋体"/>
        </w:rPr>
        <w:footnoteRef/>
      </w:r>
      <w:r>
        <w:rPr>
          <w:rFonts w:hint="eastAsia" w:ascii="宋体" w:hAnsi="宋体" w:eastAsia="宋体"/>
        </w:rPr>
        <w:t>包括发行人董事、监事、高级管理人员涉嫌违法违纪被有权机关调查、被采取强制措施或存在严重失信行为的情况。</w:t>
      </w:r>
    </w:p>
  </w:footnote>
  <w:footnote w:id="4">
    <w:p>
      <w:pPr>
        <w:pStyle w:val="8"/>
        <w:jc w:val="both"/>
        <w:rPr>
          <w:rFonts w:ascii="宋体" w:hAnsi="宋体" w:eastAsia="宋体"/>
        </w:rPr>
      </w:pPr>
      <w:r>
        <w:rPr>
          <w:rStyle w:val="15"/>
          <w:rFonts w:ascii="宋体" w:hAnsi="宋体" w:eastAsia="宋体"/>
        </w:rPr>
        <w:footnoteRef/>
      </w:r>
      <w:r>
        <w:rPr>
          <w:rFonts w:hint="eastAsia" w:ascii="宋体" w:hAnsi="宋体" w:eastAsia="宋体"/>
        </w:rPr>
        <w:t>包括特定原始权益人董事、监事、高级管理人员涉嫌违法违纪被有权机关调查、被采取强制措施或存在严重失信行为的情况。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evenAndOddHeaders w:val="1"/>
  <w:drawingGridVerticalSpacing w:val="156"/>
  <w:noPunctuationKerning w:val="1"/>
  <w:characterSpacingControl w:val="compressPunctuation"/>
  <w:footnotePr>
    <w:footnote w:id="10"/>
    <w:footnote w:id="1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FhMDY5ZWZkMjNhZjM4OTRjYWYwMzNiOWM2NWVmNDMifQ=="/>
  </w:docVars>
  <w:rsids>
    <w:rsidRoot w:val="006E17BF"/>
    <w:rsid w:val="00002ADF"/>
    <w:rsid w:val="00005B95"/>
    <w:rsid w:val="00007902"/>
    <w:rsid w:val="0001228B"/>
    <w:rsid w:val="0001638A"/>
    <w:rsid w:val="0001679C"/>
    <w:rsid w:val="0001731D"/>
    <w:rsid w:val="00020695"/>
    <w:rsid w:val="00021DC2"/>
    <w:rsid w:val="000262D5"/>
    <w:rsid w:val="0003061D"/>
    <w:rsid w:val="00040EAD"/>
    <w:rsid w:val="00040EB8"/>
    <w:rsid w:val="00042016"/>
    <w:rsid w:val="00043584"/>
    <w:rsid w:val="00043E67"/>
    <w:rsid w:val="00052ED1"/>
    <w:rsid w:val="000542E4"/>
    <w:rsid w:val="00060B3C"/>
    <w:rsid w:val="000631E0"/>
    <w:rsid w:val="00070297"/>
    <w:rsid w:val="00072A17"/>
    <w:rsid w:val="00074010"/>
    <w:rsid w:val="00074C84"/>
    <w:rsid w:val="00076184"/>
    <w:rsid w:val="000770DB"/>
    <w:rsid w:val="000810FE"/>
    <w:rsid w:val="00083CFA"/>
    <w:rsid w:val="00085403"/>
    <w:rsid w:val="000A2FBC"/>
    <w:rsid w:val="000A6362"/>
    <w:rsid w:val="000A79A7"/>
    <w:rsid w:val="000B6292"/>
    <w:rsid w:val="000C160E"/>
    <w:rsid w:val="000C7B3F"/>
    <w:rsid w:val="000D7091"/>
    <w:rsid w:val="000E5C64"/>
    <w:rsid w:val="000E738F"/>
    <w:rsid w:val="000F21F8"/>
    <w:rsid w:val="00101C47"/>
    <w:rsid w:val="00122F6A"/>
    <w:rsid w:val="00127481"/>
    <w:rsid w:val="0013245A"/>
    <w:rsid w:val="00133A49"/>
    <w:rsid w:val="0013769E"/>
    <w:rsid w:val="0014527B"/>
    <w:rsid w:val="00153077"/>
    <w:rsid w:val="001532DA"/>
    <w:rsid w:val="0015612B"/>
    <w:rsid w:val="00157718"/>
    <w:rsid w:val="00162106"/>
    <w:rsid w:val="0016210B"/>
    <w:rsid w:val="00164024"/>
    <w:rsid w:val="00165247"/>
    <w:rsid w:val="00165E55"/>
    <w:rsid w:val="00172486"/>
    <w:rsid w:val="001742D2"/>
    <w:rsid w:val="00175E16"/>
    <w:rsid w:val="00181273"/>
    <w:rsid w:val="001845AD"/>
    <w:rsid w:val="00192537"/>
    <w:rsid w:val="001A4B7D"/>
    <w:rsid w:val="001B606C"/>
    <w:rsid w:val="001B7176"/>
    <w:rsid w:val="001C5060"/>
    <w:rsid w:val="001C5E28"/>
    <w:rsid w:val="001D1403"/>
    <w:rsid w:val="001D5A1D"/>
    <w:rsid w:val="001D6225"/>
    <w:rsid w:val="001E1382"/>
    <w:rsid w:val="001E18B6"/>
    <w:rsid w:val="001E1ACB"/>
    <w:rsid w:val="001E2CF8"/>
    <w:rsid w:val="001E57F7"/>
    <w:rsid w:val="001F0E57"/>
    <w:rsid w:val="001F145A"/>
    <w:rsid w:val="001F36CE"/>
    <w:rsid w:val="001F3928"/>
    <w:rsid w:val="001F4BB4"/>
    <w:rsid w:val="002028D1"/>
    <w:rsid w:val="0020387A"/>
    <w:rsid w:val="00204FAB"/>
    <w:rsid w:val="002051A4"/>
    <w:rsid w:val="002140A8"/>
    <w:rsid w:val="00230D1E"/>
    <w:rsid w:val="00233571"/>
    <w:rsid w:val="002405B1"/>
    <w:rsid w:val="00241632"/>
    <w:rsid w:val="00241E04"/>
    <w:rsid w:val="0024439C"/>
    <w:rsid w:val="00263345"/>
    <w:rsid w:val="002637A7"/>
    <w:rsid w:val="00264453"/>
    <w:rsid w:val="0026518B"/>
    <w:rsid w:val="00265DAE"/>
    <w:rsid w:val="00281EE7"/>
    <w:rsid w:val="002861FD"/>
    <w:rsid w:val="0028756C"/>
    <w:rsid w:val="00291A10"/>
    <w:rsid w:val="0029265C"/>
    <w:rsid w:val="0029305A"/>
    <w:rsid w:val="00294CD8"/>
    <w:rsid w:val="002A04A3"/>
    <w:rsid w:val="002A1458"/>
    <w:rsid w:val="002A6F3C"/>
    <w:rsid w:val="002B0D99"/>
    <w:rsid w:val="002B5BD7"/>
    <w:rsid w:val="002C526A"/>
    <w:rsid w:val="002D440A"/>
    <w:rsid w:val="002E4A4A"/>
    <w:rsid w:val="002E7DD9"/>
    <w:rsid w:val="002F4D76"/>
    <w:rsid w:val="002F5933"/>
    <w:rsid w:val="00301B10"/>
    <w:rsid w:val="0030478A"/>
    <w:rsid w:val="00306C17"/>
    <w:rsid w:val="00307E01"/>
    <w:rsid w:val="00310881"/>
    <w:rsid w:val="003129F1"/>
    <w:rsid w:val="00323168"/>
    <w:rsid w:val="00325309"/>
    <w:rsid w:val="00327516"/>
    <w:rsid w:val="00336E10"/>
    <w:rsid w:val="00337CAA"/>
    <w:rsid w:val="003423B7"/>
    <w:rsid w:val="003440CC"/>
    <w:rsid w:val="003522C3"/>
    <w:rsid w:val="00352532"/>
    <w:rsid w:val="003534CA"/>
    <w:rsid w:val="00354494"/>
    <w:rsid w:val="00357A7B"/>
    <w:rsid w:val="00360996"/>
    <w:rsid w:val="00371A15"/>
    <w:rsid w:val="00373133"/>
    <w:rsid w:val="00375E40"/>
    <w:rsid w:val="00377A9C"/>
    <w:rsid w:val="0038087C"/>
    <w:rsid w:val="0039018C"/>
    <w:rsid w:val="00393158"/>
    <w:rsid w:val="003A6B37"/>
    <w:rsid w:val="003B5D65"/>
    <w:rsid w:val="003B72F0"/>
    <w:rsid w:val="003C43D8"/>
    <w:rsid w:val="003C6DE3"/>
    <w:rsid w:val="003C728A"/>
    <w:rsid w:val="003D61D1"/>
    <w:rsid w:val="003D6A90"/>
    <w:rsid w:val="003E5C27"/>
    <w:rsid w:val="003E6805"/>
    <w:rsid w:val="003E79E6"/>
    <w:rsid w:val="003F0546"/>
    <w:rsid w:val="003F2665"/>
    <w:rsid w:val="003F3787"/>
    <w:rsid w:val="003F6CBA"/>
    <w:rsid w:val="0041568E"/>
    <w:rsid w:val="004227EF"/>
    <w:rsid w:val="00433F5B"/>
    <w:rsid w:val="004360C4"/>
    <w:rsid w:val="00442A95"/>
    <w:rsid w:val="00443CEC"/>
    <w:rsid w:val="004457A9"/>
    <w:rsid w:val="00445BFF"/>
    <w:rsid w:val="0044640D"/>
    <w:rsid w:val="004471B2"/>
    <w:rsid w:val="0046660C"/>
    <w:rsid w:val="004678D7"/>
    <w:rsid w:val="00467C68"/>
    <w:rsid w:val="0048029A"/>
    <w:rsid w:val="00480D5E"/>
    <w:rsid w:val="00486156"/>
    <w:rsid w:val="0049762F"/>
    <w:rsid w:val="004A2640"/>
    <w:rsid w:val="004A4B98"/>
    <w:rsid w:val="004A4E67"/>
    <w:rsid w:val="004B1EED"/>
    <w:rsid w:val="004C6303"/>
    <w:rsid w:val="004C7182"/>
    <w:rsid w:val="004D11E0"/>
    <w:rsid w:val="004D59F2"/>
    <w:rsid w:val="004E3096"/>
    <w:rsid w:val="004F4C43"/>
    <w:rsid w:val="005010D2"/>
    <w:rsid w:val="005036DF"/>
    <w:rsid w:val="00521AA2"/>
    <w:rsid w:val="005319E7"/>
    <w:rsid w:val="0053438D"/>
    <w:rsid w:val="00540064"/>
    <w:rsid w:val="005401B8"/>
    <w:rsid w:val="005413DA"/>
    <w:rsid w:val="0054550B"/>
    <w:rsid w:val="0055077B"/>
    <w:rsid w:val="005511D3"/>
    <w:rsid w:val="005526AE"/>
    <w:rsid w:val="00554681"/>
    <w:rsid w:val="00563DC0"/>
    <w:rsid w:val="0057202E"/>
    <w:rsid w:val="00584CEF"/>
    <w:rsid w:val="00586EE9"/>
    <w:rsid w:val="00592EC2"/>
    <w:rsid w:val="005A1A6C"/>
    <w:rsid w:val="005A685D"/>
    <w:rsid w:val="005A708B"/>
    <w:rsid w:val="005B0DAC"/>
    <w:rsid w:val="005B48FA"/>
    <w:rsid w:val="005B74B0"/>
    <w:rsid w:val="005B7C10"/>
    <w:rsid w:val="005C6C74"/>
    <w:rsid w:val="005D692D"/>
    <w:rsid w:val="005E3B93"/>
    <w:rsid w:val="005E3E6F"/>
    <w:rsid w:val="005E51A6"/>
    <w:rsid w:val="005F4123"/>
    <w:rsid w:val="005F42F5"/>
    <w:rsid w:val="00601ADA"/>
    <w:rsid w:val="00606144"/>
    <w:rsid w:val="006217D6"/>
    <w:rsid w:val="00623844"/>
    <w:rsid w:val="00623EA4"/>
    <w:rsid w:val="0063279A"/>
    <w:rsid w:val="00632F1B"/>
    <w:rsid w:val="00635FE5"/>
    <w:rsid w:val="0063753F"/>
    <w:rsid w:val="0064604D"/>
    <w:rsid w:val="006511B6"/>
    <w:rsid w:val="00652D63"/>
    <w:rsid w:val="006708F1"/>
    <w:rsid w:val="00673EA2"/>
    <w:rsid w:val="006809F9"/>
    <w:rsid w:val="00683AA2"/>
    <w:rsid w:val="0069062D"/>
    <w:rsid w:val="006942C8"/>
    <w:rsid w:val="006A0F13"/>
    <w:rsid w:val="006A10FC"/>
    <w:rsid w:val="006B0209"/>
    <w:rsid w:val="006B55F4"/>
    <w:rsid w:val="006C0CBF"/>
    <w:rsid w:val="006C5922"/>
    <w:rsid w:val="006D2394"/>
    <w:rsid w:val="006E17BF"/>
    <w:rsid w:val="006E627A"/>
    <w:rsid w:val="006F1D6B"/>
    <w:rsid w:val="00710901"/>
    <w:rsid w:val="00715720"/>
    <w:rsid w:val="00721D76"/>
    <w:rsid w:val="00726294"/>
    <w:rsid w:val="00730220"/>
    <w:rsid w:val="00731020"/>
    <w:rsid w:val="00740EAA"/>
    <w:rsid w:val="0074440A"/>
    <w:rsid w:val="00745C13"/>
    <w:rsid w:val="00747FB9"/>
    <w:rsid w:val="00752BE6"/>
    <w:rsid w:val="00753A10"/>
    <w:rsid w:val="00755B36"/>
    <w:rsid w:val="0076084B"/>
    <w:rsid w:val="00760E6C"/>
    <w:rsid w:val="007631E4"/>
    <w:rsid w:val="0077178A"/>
    <w:rsid w:val="007746FE"/>
    <w:rsid w:val="0078538E"/>
    <w:rsid w:val="00786447"/>
    <w:rsid w:val="0079012C"/>
    <w:rsid w:val="0079122A"/>
    <w:rsid w:val="00791D57"/>
    <w:rsid w:val="007A6FD4"/>
    <w:rsid w:val="007B173B"/>
    <w:rsid w:val="007B5A27"/>
    <w:rsid w:val="007C16E5"/>
    <w:rsid w:val="007C2E60"/>
    <w:rsid w:val="007C4848"/>
    <w:rsid w:val="007E0706"/>
    <w:rsid w:val="007E2DC9"/>
    <w:rsid w:val="007E4895"/>
    <w:rsid w:val="007E4C55"/>
    <w:rsid w:val="007F2809"/>
    <w:rsid w:val="007F526B"/>
    <w:rsid w:val="007F6B25"/>
    <w:rsid w:val="007F729A"/>
    <w:rsid w:val="00804A6A"/>
    <w:rsid w:val="00805AA8"/>
    <w:rsid w:val="008070A0"/>
    <w:rsid w:val="0081088B"/>
    <w:rsid w:val="00813F9F"/>
    <w:rsid w:val="0081750A"/>
    <w:rsid w:val="00817DCD"/>
    <w:rsid w:val="00826D95"/>
    <w:rsid w:val="00833054"/>
    <w:rsid w:val="0083375C"/>
    <w:rsid w:val="00836D5F"/>
    <w:rsid w:val="00841031"/>
    <w:rsid w:val="008447E4"/>
    <w:rsid w:val="00854D04"/>
    <w:rsid w:val="00854E7F"/>
    <w:rsid w:val="00854FFB"/>
    <w:rsid w:val="008603E7"/>
    <w:rsid w:val="00862F10"/>
    <w:rsid w:val="00864AB6"/>
    <w:rsid w:val="00864ED4"/>
    <w:rsid w:val="00866853"/>
    <w:rsid w:val="00871A67"/>
    <w:rsid w:val="00883530"/>
    <w:rsid w:val="008837CB"/>
    <w:rsid w:val="00883DCA"/>
    <w:rsid w:val="00890DA7"/>
    <w:rsid w:val="00893B7D"/>
    <w:rsid w:val="008965ED"/>
    <w:rsid w:val="008A1309"/>
    <w:rsid w:val="008A1D57"/>
    <w:rsid w:val="008A2EFC"/>
    <w:rsid w:val="008A5CDE"/>
    <w:rsid w:val="008C269D"/>
    <w:rsid w:val="008C47E8"/>
    <w:rsid w:val="008C7DDA"/>
    <w:rsid w:val="008D24C8"/>
    <w:rsid w:val="008D7196"/>
    <w:rsid w:val="008D7573"/>
    <w:rsid w:val="008E22D7"/>
    <w:rsid w:val="008E52CC"/>
    <w:rsid w:val="008F228B"/>
    <w:rsid w:val="008F325A"/>
    <w:rsid w:val="008F3663"/>
    <w:rsid w:val="008F573B"/>
    <w:rsid w:val="008F5A17"/>
    <w:rsid w:val="009006E7"/>
    <w:rsid w:val="00901128"/>
    <w:rsid w:val="00903A5C"/>
    <w:rsid w:val="00906D0B"/>
    <w:rsid w:val="009108E4"/>
    <w:rsid w:val="00920B2E"/>
    <w:rsid w:val="00923B47"/>
    <w:rsid w:val="009253A9"/>
    <w:rsid w:val="00927C44"/>
    <w:rsid w:val="00944FB2"/>
    <w:rsid w:val="00955970"/>
    <w:rsid w:val="00957EF8"/>
    <w:rsid w:val="00962160"/>
    <w:rsid w:val="00964FFF"/>
    <w:rsid w:val="0096723D"/>
    <w:rsid w:val="00976202"/>
    <w:rsid w:val="009776D0"/>
    <w:rsid w:val="009805BB"/>
    <w:rsid w:val="00982135"/>
    <w:rsid w:val="0098404A"/>
    <w:rsid w:val="009944FC"/>
    <w:rsid w:val="009947BE"/>
    <w:rsid w:val="00997274"/>
    <w:rsid w:val="009A04D5"/>
    <w:rsid w:val="009A08A0"/>
    <w:rsid w:val="009A1771"/>
    <w:rsid w:val="009A3B90"/>
    <w:rsid w:val="009C1EDC"/>
    <w:rsid w:val="009C786A"/>
    <w:rsid w:val="009D0B63"/>
    <w:rsid w:val="009D1EDD"/>
    <w:rsid w:val="009E1A04"/>
    <w:rsid w:val="009F055B"/>
    <w:rsid w:val="00A0191A"/>
    <w:rsid w:val="00A05CD9"/>
    <w:rsid w:val="00A11AFB"/>
    <w:rsid w:val="00A12C28"/>
    <w:rsid w:val="00A14D48"/>
    <w:rsid w:val="00A21670"/>
    <w:rsid w:val="00A37264"/>
    <w:rsid w:val="00A3760E"/>
    <w:rsid w:val="00A37FEA"/>
    <w:rsid w:val="00A422FC"/>
    <w:rsid w:val="00A42C56"/>
    <w:rsid w:val="00A46114"/>
    <w:rsid w:val="00A50AC2"/>
    <w:rsid w:val="00A53C67"/>
    <w:rsid w:val="00A61679"/>
    <w:rsid w:val="00A6463C"/>
    <w:rsid w:val="00A7030D"/>
    <w:rsid w:val="00A70CBB"/>
    <w:rsid w:val="00A71496"/>
    <w:rsid w:val="00A82B7C"/>
    <w:rsid w:val="00A9209B"/>
    <w:rsid w:val="00A92C35"/>
    <w:rsid w:val="00A95053"/>
    <w:rsid w:val="00A97832"/>
    <w:rsid w:val="00A97D43"/>
    <w:rsid w:val="00AA32B1"/>
    <w:rsid w:val="00AC2CD8"/>
    <w:rsid w:val="00AC51B8"/>
    <w:rsid w:val="00AC7573"/>
    <w:rsid w:val="00AD1CB8"/>
    <w:rsid w:val="00AE19D1"/>
    <w:rsid w:val="00AE45E1"/>
    <w:rsid w:val="00AE6018"/>
    <w:rsid w:val="00AF1B5A"/>
    <w:rsid w:val="00AF1FD4"/>
    <w:rsid w:val="00AF2A3A"/>
    <w:rsid w:val="00AF302A"/>
    <w:rsid w:val="00AF6968"/>
    <w:rsid w:val="00B11EAE"/>
    <w:rsid w:val="00B12706"/>
    <w:rsid w:val="00B13752"/>
    <w:rsid w:val="00B14073"/>
    <w:rsid w:val="00B15452"/>
    <w:rsid w:val="00B218C6"/>
    <w:rsid w:val="00B21FAD"/>
    <w:rsid w:val="00B23C48"/>
    <w:rsid w:val="00B27A2D"/>
    <w:rsid w:val="00B30943"/>
    <w:rsid w:val="00B406DE"/>
    <w:rsid w:val="00B4413C"/>
    <w:rsid w:val="00B550F7"/>
    <w:rsid w:val="00B64ED5"/>
    <w:rsid w:val="00B653AA"/>
    <w:rsid w:val="00B66899"/>
    <w:rsid w:val="00B722A6"/>
    <w:rsid w:val="00B7299D"/>
    <w:rsid w:val="00B73532"/>
    <w:rsid w:val="00B74C7D"/>
    <w:rsid w:val="00B80B92"/>
    <w:rsid w:val="00B824B3"/>
    <w:rsid w:val="00B86360"/>
    <w:rsid w:val="00B876BC"/>
    <w:rsid w:val="00B95F90"/>
    <w:rsid w:val="00B95FB2"/>
    <w:rsid w:val="00BB6170"/>
    <w:rsid w:val="00BC0E0D"/>
    <w:rsid w:val="00BC3CCA"/>
    <w:rsid w:val="00BC6E13"/>
    <w:rsid w:val="00BD2D94"/>
    <w:rsid w:val="00BD6637"/>
    <w:rsid w:val="00BF08AB"/>
    <w:rsid w:val="00BF27BA"/>
    <w:rsid w:val="00BF530E"/>
    <w:rsid w:val="00C004B0"/>
    <w:rsid w:val="00C10ED1"/>
    <w:rsid w:val="00C1167D"/>
    <w:rsid w:val="00C122BE"/>
    <w:rsid w:val="00C16B9B"/>
    <w:rsid w:val="00C2266D"/>
    <w:rsid w:val="00C22C71"/>
    <w:rsid w:val="00C23290"/>
    <w:rsid w:val="00C2465A"/>
    <w:rsid w:val="00C27FCF"/>
    <w:rsid w:val="00C331F6"/>
    <w:rsid w:val="00C3671A"/>
    <w:rsid w:val="00C45CC2"/>
    <w:rsid w:val="00C46295"/>
    <w:rsid w:val="00C54D44"/>
    <w:rsid w:val="00C66B7D"/>
    <w:rsid w:val="00C70006"/>
    <w:rsid w:val="00C75B37"/>
    <w:rsid w:val="00C77191"/>
    <w:rsid w:val="00C90575"/>
    <w:rsid w:val="00C908F4"/>
    <w:rsid w:val="00CA0F25"/>
    <w:rsid w:val="00CA2CAD"/>
    <w:rsid w:val="00CA495B"/>
    <w:rsid w:val="00CA5F8C"/>
    <w:rsid w:val="00CA66E8"/>
    <w:rsid w:val="00CB04B2"/>
    <w:rsid w:val="00CB1C93"/>
    <w:rsid w:val="00CB1DCD"/>
    <w:rsid w:val="00CB283B"/>
    <w:rsid w:val="00CB3BC3"/>
    <w:rsid w:val="00CB4CB7"/>
    <w:rsid w:val="00CB517D"/>
    <w:rsid w:val="00CB6166"/>
    <w:rsid w:val="00CB6D16"/>
    <w:rsid w:val="00CC1B60"/>
    <w:rsid w:val="00CC48AE"/>
    <w:rsid w:val="00CC4BC1"/>
    <w:rsid w:val="00CC718D"/>
    <w:rsid w:val="00CC756E"/>
    <w:rsid w:val="00CD4BEE"/>
    <w:rsid w:val="00CD50DF"/>
    <w:rsid w:val="00CD7056"/>
    <w:rsid w:val="00CF33E4"/>
    <w:rsid w:val="00CF3497"/>
    <w:rsid w:val="00D0175C"/>
    <w:rsid w:val="00D07D3B"/>
    <w:rsid w:val="00D113CF"/>
    <w:rsid w:val="00D137FD"/>
    <w:rsid w:val="00D13C8E"/>
    <w:rsid w:val="00D14463"/>
    <w:rsid w:val="00D16584"/>
    <w:rsid w:val="00D34A53"/>
    <w:rsid w:val="00D34ECB"/>
    <w:rsid w:val="00D4077B"/>
    <w:rsid w:val="00D42B8F"/>
    <w:rsid w:val="00D533E3"/>
    <w:rsid w:val="00D60E5E"/>
    <w:rsid w:val="00D64ED8"/>
    <w:rsid w:val="00D677B5"/>
    <w:rsid w:val="00D71E25"/>
    <w:rsid w:val="00D71F87"/>
    <w:rsid w:val="00D73930"/>
    <w:rsid w:val="00D769E9"/>
    <w:rsid w:val="00D85E79"/>
    <w:rsid w:val="00D86588"/>
    <w:rsid w:val="00D9110B"/>
    <w:rsid w:val="00D978D4"/>
    <w:rsid w:val="00DA7998"/>
    <w:rsid w:val="00DB04E7"/>
    <w:rsid w:val="00DB16A3"/>
    <w:rsid w:val="00DC059C"/>
    <w:rsid w:val="00DC3C14"/>
    <w:rsid w:val="00DC41B0"/>
    <w:rsid w:val="00DC7380"/>
    <w:rsid w:val="00DC741B"/>
    <w:rsid w:val="00DD06C8"/>
    <w:rsid w:val="00DD0823"/>
    <w:rsid w:val="00DE1A98"/>
    <w:rsid w:val="00DE2328"/>
    <w:rsid w:val="00DF3648"/>
    <w:rsid w:val="00DF44F4"/>
    <w:rsid w:val="00DF4F40"/>
    <w:rsid w:val="00E02F8D"/>
    <w:rsid w:val="00E105CE"/>
    <w:rsid w:val="00E17711"/>
    <w:rsid w:val="00E17FF7"/>
    <w:rsid w:val="00E249EA"/>
    <w:rsid w:val="00E25ECD"/>
    <w:rsid w:val="00E336DB"/>
    <w:rsid w:val="00E33ADC"/>
    <w:rsid w:val="00E3476F"/>
    <w:rsid w:val="00E353FE"/>
    <w:rsid w:val="00E40B2C"/>
    <w:rsid w:val="00E40EBC"/>
    <w:rsid w:val="00E41286"/>
    <w:rsid w:val="00E41CBF"/>
    <w:rsid w:val="00E50CFB"/>
    <w:rsid w:val="00E5216E"/>
    <w:rsid w:val="00E52C47"/>
    <w:rsid w:val="00E53165"/>
    <w:rsid w:val="00E57EB7"/>
    <w:rsid w:val="00E60BA6"/>
    <w:rsid w:val="00E670D9"/>
    <w:rsid w:val="00E67844"/>
    <w:rsid w:val="00E71A85"/>
    <w:rsid w:val="00E730CC"/>
    <w:rsid w:val="00E85238"/>
    <w:rsid w:val="00E85C7F"/>
    <w:rsid w:val="00E91704"/>
    <w:rsid w:val="00E92E42"/>
    <w:rsid w:val="00E94A55"/>
    <w:rsid w:val="00E97C14"/>
    <w:rsid w:val="00E97C7D"/>
    <w:rsid w:val="00EA10B8"/>
    <w:rsid w:val="00EA20DA"/>
    <w:rsid w:val="00EA3A49"/>
    <w:rsid w:val="00EA760E"/>
    <w:rsid w:val="00EB1839"/>
    <w:rsid w:val="00EC04B6"/>
    <w:rsid w:val="00EC50F8"/>
    <w:rsid w:val="00EC5A7A"/>
    <w:rsid w:val="00ED04F1"/>
    <w:rsid w:val="00ED11E5"/>
    <w:rsid w:val="00EE2920"/>
    <w:rsid w:val="00EE5589"/>
    <w:rsid w:val="00F03AE5"/>
    <w:rsid w:val="00F0401D"/>
    <w:rsid w:val="00F10FDF"/>
    <w:rsid w:val="00F151DD"/>
    <w:rsid w:val="00F15AAE"/>
    <w:rsid w:val="00F16B00"/>
    <w:rsid w:val="00F21203"/>
    <w:rsid w:val="00F234F2"/>
    <w:rsid w:val="00F2394A"/>
    <w:rsid w:val="00F242B3"/>
    <w:rsid w:val="00F27152"/>
    <w:rsid w:val="00F30980"/>
    <w:rsid w:val="00F34E5E"/>
    <w:rsid w:val="00F41F6C"/>
    <w:rsid w:val="00F45642"/>
    <w:rsid w:val="00F504EB"/>
    <w:rsid w:val="00F55C14"/>
    <w:rsid w:val="00F70299"/>
    <w:rsid w:val="00F7137F"/>
    <w:rsid w:val="00F77BEC"/>
    <w:rsid w:val="00F820F9"/>
    <w:rsid w:val="00F82CF2"/>
    <w:rsid w:val="00F855D7"/>
    <w:rsid w:val="00F90ECC"/>
    <w:rsid w:val="00F9160E"/>
    <w:rsid w:val="00F931A4"/>
    <w:rsid w:val="00F978E1"/>
    <w:rsid w:val="00FC313E"/>
    <w:rsid w:val="00FC3912"/>
    <w:rsid w:val="00FC5A72"/>
    <w:rsid w:val="00FD028E"/>
    <w:rsid w:val="00FD58D9"/>
    <w:rsid w:val="00FE2D3D"/>
    <w:rsid w:val="00FE2F18"/>
    <w:rsid w:val="00FE4D49"/>
    <w:rsid w:val="00FE6323"/>
    <w:rsid w:val="00FF11A8"/>
    <w:rsid w:val="00FF35B4"/>
    <w:rsid w:val="00FF694E"/>
    <w:rsid w:val="0C024BF2"/>
    <w:rsid w:val="0F7C56AF"/>
    <w:rsid w:val="0FAB795C"/>
    <w:rsid w:val="10EE0C20"/>
    <w:rsid w:val="190D4244"/>
    <w:rsid w:val="27CD064E"/>
    <w:rsid w:val="311E5100"/>
    <w:rsid w:val="3664704E"/>
    <w:rsid w:val="51C10CE2"/>
    <w:rsid w:val="683B3E0E"/>
    <w:rsid w:val="6F2723A2"/>
    <w:rsid w:val="78BC0927"/>
    <w:rsid w:val="7B1E231A"/>
    <w:rsid w:val="FD790E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9"/>
    <w:unhideWhenUsed/>
    <w:qFormat/>
    <w:uiPriority w:val="99"/>
    <w:pPr>
      <w:jc w:val="left"/>
    </w:pPr>
  </w:style>
  <w:style w:type="paragraph" w:styleId="5">
    <w:name w:val="Balloon Text"/>
    <w:basedOn w:val="1"/>
    <w:link w:val="17"/>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link w:val="32"/>
    <w:unhideWhenUsed/>
    <w:qFormat/>
    <w:uiPriority w:val="99"/>
    <w:pPr>
      <w:snapToGrid w:val="0"/>
      <w:jc w:val="left"/>
    </w:pPr>
    <w:rPr>
      <w:sz w:val="18"/>
      <w:szCs w:val="18"/>
    </w:rPr>
  </w:style>
  <w:style w:type="paragraph" w:styleId="9">
    <w:name w:val="annotation subject"/>
    <w:basedOn w:val="4"/>
    <w:next w:val="4"/>
    <w:link w:val="20"/>
    <w:semiHidden/>
    <w:unhideWhenUsed/>
    <w:qFormat/>
    <w:uiPriority w:val="99"/>
    <w:rPr>
      <w:b/>
      <w:bCs/>
    </w:rPr>
  </w:style>
  <w:style w:type="table" w:styleId="11">
    <w:name w:val="Table Grid"/>
    <w:basedOn w:val="10"/>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annotation reference"/>
    <w:basedOn w:val="12"/>
    <w:semiHidden/>
    <w:unhideWhenUsed/>
    <w:qFormat/>
    <w:uiPriority w:val="99"/>
    <w:rPr>
      <w:sz w:val="21"/>
      <w:szCs w:val="21"/>
    </w:rPr>
  </w:style>
  <w:style w:type="character" w:styleId="15">
    <w:name w:val="footnote reference"/>
    <w:basedOn w:val="12"/>
    <w:unhideWhenUsed/>
    <w:qFormat/>
    <w:uiPriority w:val="99"/>
    <w:rPr>
      <w:vertAlign w:val="superscript"/>
    </w:rPr>
  </w:style>
  <w:style w:type="character" w:customStyle="1" w:styleId="16">
    <w:name w:val="页脚 Char"/>
    <w:basedOn w:val="12"/>
    <w:link w:val="6"/>
    <w:qFormat/>
    <w:uiPriority w:val="99"/>
    <w:rPr>
      <w:sz w:val="18"/>
      <w:szCs w:val="18"/>
    </w:rPr>
  </w:style>
  <w:style w:type="character" w:customStyle="1" w:styleId="17">
    <w:name w:val="批注框文本 Char"/>
    <w:basedOn w:val="12"/>
    <w:link w:val="5"/>
    <w:semiHidden/>
    <w:qFormat/>
    <w:uiPriority w:val="99"/>
    <w:rPr>
      <w:sz w:val="18"/>
      <w:szCs w:val="18"/>
    </w:rPr>
  </w:style>
  <w:style w:type="character" w:customStyle="1" w:styleId="18">
    <w:name w:val="页眉 Char"/>
    <w:basedOn w:val="12"/>
    <w:link w:val="7"/>
    <w:qFormat/>
    <w:uiPriority w:val="99"/>
    <w:rPr>
      <w:sz w:val="18"/>
      <w:szCs w:val="18"/>
    </w:rPr>
  </w:style>
  <w:style w:type="character" w:customStyle="1" w:styleId="19">
    <w:name w:val="批注文字 Char"/>
    <w:basedOn w:val="12"/>
    <w:link w:val="4"/>
    <w:qFormat/>
    <w:uiPriority w:val="99"/>
  </w:style>
  <w:style w:type="character" w:customStyle="1" w:styleId="20">
    <w:name w:val="批注主题 Char"/>
    <w:basedOn w:val="19"/>
    <w:link w:val="9"/>
    <w:semiHidden/>
    <w:qFormat/>
    <w:uiPriority w:val="99"/>
    <w:rPr>
      <w:b/>
      <w:bCs/>
    </w:rPr>
  </w:style>
  <w:style w:type="paragraph" w:customStyle="1" w:styleId="21">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
    <w:name w:val="报告正文"/>
    <w:basedOn w:val="1"/>
    <w:link w:val="23"/>
    <w:qFormat/>
    <w:uiPriority w:val="99"/>
    <w:pPr>
      <w:overflowPunct w:val="0"/>
      <w:autoSpaceDN w:val="0"/>
      <w:spacing w:line="600" w:lineRule="exact"/>
      <w:ind w:firstLine="200" w:firstLineChars="200"/>
    </w:pPr>
    <w:rPr>
      <w:rFonts w:ascii="仿宋_GB2312" w:eastAsia="仿宋_GB2312"/>
      <w:sz w:val="30"/>
      <w:szCs w:val="30"/>
    </w:rPr>
  </w:style>
  <w:style w:type="character" w:customStyle="1" w:styleId="23">
    <w:name w:val="报告正文 Char"/>
    <w:basedOn w:val="12"/>
    <w:link w:val="22"/>
    <w:qFormat/>
    <w:uiPriority w:val="99"/>
    <w:rPr>
      <w:rFonts w:ascii="仿宋_GB2312" w:eastAsia="仿宋_GB2312" w:hAnsiTheme="minorHAnsi" w:cstheme="minorBidi"/>
      <w:kern w:val="2"/>
      <w:sz w:val="30"/>
      <w:szCs w:val="30"/>
    </w:rPr>
  </w:style>
  <w:style w:type="paragraph" w:customStyle="1" w:styleId="24">
    <w:name w:val="一级"/>
    <w:basedOn w:val="2"/>
    <w:link w:val="25"/>
    <w:qFormat/>
    <w:uiPriority w:val="0"/>
    <w:pPr>
      <w:keepNext w:val="0"/>
      <w:keepLines w:val="0"/>
      <w:jc w:val="center"/>
    </w:pPr>
    <w:rPr>
      <w:sz w:val="36"/>
      <w:szCs w:val="36"/>
    </w:rPr>
  </w:style>
  <w:style w:type="character" w:customStyle="1" w:styleId="25">
    <w:name w:val="一级 字符"/>
    <w:basedOn w:val="26"/>
    <w:link w:val="24"/>
    <w:qFormat/>
    <w:uiPriority w:val="0"/>
    <w:rPr>
      <w:rFonts w:asciiTheme="minorHAnsi" w:hAnsiTheme="minorHAnsi" w:eastAsiaTheme="minorEastAsia" w:cstheme="minorBidi"/>
      <w:kern w:val="44"/>
      <w:sz w:val="36"/>
      <w:szCs w:val="36"/>
    </w:rPr>
  </w:style>
  <w:style w:type="character" w:customStyle="1" w:styleId="26">
    <w:name w:val="标题 1 Char"/>
    <w:basedOn w:val="12"/>
    <w:link w:val="2"/>
    <w:qFormat/>
    <w:uiPriority w:val="9"/>
    <w:rPr>
      <w:rFonts w:asciiTheme="minorHAnsi" w:hAnsiTheme="minorHAnsi" w:eastAsiaTheme="minorEastAsia" w:cstheme="minorBidi"/>
      <w:b/>
      <w:bCs/>
      <w:kern w:val="44"/>
      <w:sz w:val="44"/>
      <w:szCs w:val="44"/>
    </w:rPr>
  </w:style>
  <w:style w:type="paragraph" w:customStyle="1" w:styleId="27">
    <w:name w:val="二级"/>
    <w:basedOn w:val="3"/>
    <w:link w:val="28"/>
    <w:qFormat/>
    <w:uiPriority w:val="0"/>
    <w:pPr>
      <w:keepNext w:val="0"/>
      <w:keepLines w:val="0"/>
      <w:spacing w:before="0" w:after="0" w:line="600" w:lineRule="exact"/>
      <w:ind w:firstLine="602" w:firstLineChars="200"/>
      <w:contextualSpacing/>
    </w:pPr>
    <w:rPr>
      <w:rFonts w:ascii="仿宋_GB2312" w:eastAsia="仿宋_GB2312"/>
      <w:sz w:val="30"/>
      <w:szCs w:val="30"/>
    </w:rPr>
  </w:style>
  <w:style w:type="character" w:customStyle="1" w:styleId="28">
    <w:name w:val="二级 字符"/>
    <w:basedOn w:val="29"/>
    <w:link w:val="27"/>
    <w:qFormat/>
    <w:uiPriority w:val="0"/>
    <w:rPr>
      <w:rFonts w:ascii="仿宋_GB2312" w:eastAsia="仿宋_GB2312" w:hAnsiTheme="majorHAnsi" w:cstheme="majorBidi"/>
      <w:kern w:val="2"/>
      <w:sz w:val="30"/>
      <w:szCs w:val="30"/>
    </w:rPr>
  </w:style>
  <w:style w:type="character" w:customStyle="1" w:styleId="29">
    <w:name w:val="标题 2 Char"/>
    <w:basedOn w:val="12"/>
    <w:link w:val="3"/>
    <w:semiHidden/>
    <w:qFormat/>
    <w:uiPriority w:val="9"/>
    <w:rPr>
      <w:rFonts w:asciiTheme="majorHAnsi" w:hAnsiTheme="majorHAnsi" w:eastAsiaTheme="majorEastAsia" w:cstheme="majorBidi"/>
      <w:b/>
      <w:bCs/>
      <w:kern w:val="2"/>
      <w:sz w:val="32"/>
      <w:szCs w:val="32"/>
    </w:rPr>
  </w:style>
  <w:style w:type="paragraph" w:customStyle="1" w:styleId="30">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styleId="31">
    <w:name w:val="List Paragraph"/>
    <w:basedOn w:val="1"/>
    <w:qFormat/>
    <w:uiPriority w:val="99"/>
    <w:pPr>
      <w:ind w:firstLine="420" w:firstLineChars="200"/>
    </w:pPr>
  </w:style>
  <w:style w:type="character" w:customStyle="1" w:styleId="32">
    <w:name w:val="脚注文本 Char"/>
    <w:basedOn w:val="12"/>
    <w:link w:val="8"/>
    <w:qFormat/>
    <w:uiPriority w:val="99"/>
    <w:rPr>
      <w:rFonts w:asciiTheme="minorHAnsi" w:hAnsiTheme="minorHAnsi" w:eastAsiaTheme="minorEastAsia" w:cstheme="minorBidi"/>
      <w:kern w:val="2"/>
      <w:sz w:val="18"/>
      <w:szCs w:val="18"/>
    </w:rPr>
  </w:style>
  <w:style w:type="paragraph" w:customStyle="1" w:styleId="33">
    <w:name w:val="修订3"/>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4">
    <w:name w:val="修订4"/>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0C4D07-6051-4B0C-B7A2-2986D2E65A31}">
  <ds:schemaRefs/>
</ds:datastoreItem>
</file>

<file path=docProps/app.xml><?xml version="1.0" encoding="utf-8"?>
<Properties xmlns="http://schemas.openxmlformats.org/officeDocument/2006/extended-properties" xmlns:vt="http://schemas.openxmlformats.org/officeDocument/2006/docPropsVTypes">
  <Template>Normal</Template>
  <Pages>55</Pages>
  <Words>26729</Words>
  <Characters>28041</Characters>
  <Lines>220</Lines>
  <Paragraphs>62</Paragraphs>
  <TotalTime>717</TotalTime>
  <ScaleCrop>false</ScaleCrop>
  <LinksUpToDate>false</LinksUpToDate>
  <CharactersWithSpaces>28306</CharactersWithSpaces>
  <Application>WPS Office_12.8.0.16970_F1E327BC-269C-435d-A152-05C5408002CA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2024-02-29T19:55:00Z</dcterms:created>
  <dc:creator>whxu</dc:creator>
  <cp:lastModifiedBy>whxu</cp:lastModifiedBy>
  <cp:lastPrinted>2024-09-05T20:09:00Z</cp:lastPrinted>
  <dcterms:modified xsi:type="dcterms:W3CDTF">2024-09-11T17:12:39Z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2052-12.8.0.16970</vt:lpwstr>
  </property>
  <property fmtid="{D5CDD505-2E9C-101B-9397-08002B2CF9AE}" pid="3" name="ICV">
    <vt:lpwstr>30C8716B65194D66B0C9696FAA535AA8_13</vt:lpwstr>
  </property>
</Properties>
</file>