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6EE9" w:rsidRPr="00A21AF7" w:rsidRDefault="00FB6EE9" w:rsidP="00FB6EE9">
      <w:pPr>
        <w:spacing w:line="560" w:lineRule="exact"/>
        <w:rPr>
          <w:rFonts w:ascii="仿宋_GB2312" w:eastAsia="仿宋_GB2312" w:hAnsiTheme="minorEastAsia" w:cs="Times New Roman"/>
          <w:b/>
          <w:color w:val="000000" w:themeColor="text1"/>
          <w:kern w:val="0"/>
          <w:sz w:val="30"/>
          <w:szCs w:val="30"/>
        </w:rPr>
      </w:pPr>
      <w:r w:rsidRPr="00A21AF7">
        <w:rPr>
          <w:rFonts w:ascii="仿宋_GB2312" w:eastAsia="仿宋_GB2312" w:hAnsiTheme="minorEastAsia" w:cs="Times New Roman" w:hint="eastAsia"/>
          <w:b/>
          <w:color w:val="000000" w:themeColor="text1"/>
          <w:kern w:val="0"/>
          <w:sz w:val="30"/>
          <w:szCs w:val="30"/>
        </w:rPr>
        <w:t>附件1</w:t>
      </w:r>
    </w:p>
    <w:p w:rsidR="00CB0C3E" w:rsidRDefault="00CB0C3E">
      <w:pPr>
        <w:widowControl/>
        <w:jc w:val="center"/>
        <w:rPr>
          <w:rFonts w:ascii="黑体" w:eastAsia="黑体" w:hAnsi="黑体" w:cs="Times New Roman"/>
          <w:b/>
          <w:bCs/>
          <w:color w:val="000000" w:themeColor="text1"/>
          <w:kern w:val="0"/>
          <w:sz w:val="42"/>
          <w:szCs w:val="42"/>
        </w:rPr>
      </w:pPr>
    </w:p>
    <w:p w:rsidR="00CB0C3E" w:rsidRDefault="00303848">
      <w:pPr>
        <w:snapToGrid w:val="0"/>
        <w:spacing w:line="560" w:lineRule="exact"/>
        <w:jc w:val="center"/>
        <w:rPr>
          <w:rFonts w:ascii="方正大标宋简体" w:eastAsia="方正大标宋简体" w:hAnsi="黑体" w:cs="Times New Roman"/>
          <w:sz w:val="42"/>
          <w:szCs w:val="42"/>
        </w:rPr>
      </w:pPr>
      <w:r>
        <w:rPr>
          <w:rFonts w:ascii="方正大标宋简体" w:eastAsia="方正大标宋简体" w:hAnsi="黑体" w:cs="Times New Roman" w:hint="eastAsia"/>
          <w:sz w:val="42"/>
          <w:szCs w:val="42"/>
        </w:rPr>
        <w:t>上海证券交易所上市公司自律监管指引</w:t>
      </w:r>
    </w:p>
    <w:p w:rsidR="00CB0C3E" w:rsidRDefault="00303848">
      <w:pPr>
        <w:snapToGrid w:val="0"/>
        <w:spacing w:line="560" w:lineRule="exact"/>
        <w:jc w:val="center"/>
        <w:rPr>
          <w:rFonts w:ascii="方正大标宋简体" w:eastAsia="方正大标宋简体" w:hAnsi="黑体" w:cs="Times New Roman"/>
          <w:sz w:val="42"/>
          <w:szCs w:val="42"/>
        </w:rPr>
      </w:pPr>
      <w:r>
        <w:rPr>
          <w:rFonts w:ascii="方正大标宋简体" w:eastAsia="方正大标宋简体" w:hAnsi="黑体" w:cs="Times New Roman" w:hint="eastAsia"/>
          <w:sz w:val="42"/>
          <w:szCs w:val="42"/>
        </w:rPr>
        <w:t>第5号</w:t>
      </w:r>
      <w:r>
        <w:rPr>
          <w:rFonts w:ascii="方正大标宋简体" w:eastAsia="方正大标宋简体" w:hAnsi="黑体" w:cs="Times New Roman"/>
          <w:sz w:val="42"/>
          <w:szCs w:val="42"/>
        </w:rPr>
        <w:t>——</w:t>
      </w:r>
      <w:r>
        <w:rPr>
          <w:rFonts w:ascii="方正大标宋简体" w:eastAsia="方正大标宋简体" w:hAnsi="黑体" w:cs="Times New Roman"/>
          <w:sz w:val="42"/>
          <w:szCs w:val="42"/>
        </w:rPr>
        <w:t>交易</w:t>
      </w:r>
      <w:r>
        <w:rPr>
          <w:rFonts w:ascii="方正大标宋简体" w:eastAsia="方正大标宋简体" w:hAnsi="黑体" w:cs="Times New Roman" w:hint="eastAsia"/>
          <w:sz w:val="42"/>
          <w:szCs w:val="42"/>
        </w:rPr>
        <w:t>与关联交易</w:t>
      </w:r>
    </w:p>
    <w:p w:rsidR="00CB0C3E" w:rsidRDefault="00303848">
      <w:pPr>
        <w:spacing w:line="560" w:lineRule="exact"/>
        <w:jc w:val="center"/>
        <w:rPr>
          <w:rFonts w:ascii="仿宋_GB2312" w:eastAsia="仿宋_GB2312"/>
          <w:b/>
          <w:sz w:val="30"/>
          <w:szCs w:val="30"/>
        </w:rPr>
      </w:pPr>
      <w:r>
        <w:rPr>
          <w:rFonts w:ascii="仿宋_GB2312" w:eastAsia="仿宋_GB2312" w:hint="eastAsia"/>
          <w:b/>
          <w:sz w:val="30"/>
          <w:szCs w:val="30"/>
        </w:rPr>
        <w:t>（征求意见稿）</w:t>
      </w:r>
    </w:p>
    <w:p w:rsidR="00CB0C3E" w:rsidRDefault="00CB0C3E">
      <w:pPr>
        <w:rPr>
          <w:rFonts w:asciiTheme="minorEastAsia" w:hAnsiTheme="minorEastAsia" w:cs="Times New Roman"/>
          <w:bCs/>
          <w:color w:val="000000" w:themeColor="text1"/>
          <w:kern w:val="0"/>
          <w:sz w:val="30"/>
          <w:szCs w:val="30"/>
        </w:rPr>
      </w:pPr>
    </w:p>
    <w:p w:rsidR="00CB0C3E" w:rsidRDefault="00303848">
      <w:pPr>
        <w:spacing w:line="560" w:lineRule="exact"/>
        <w:jc w:val="center"/>
        <w:rPr>
          <w:rFonts w:ascii="黑体" w:eastAsia="黑体" w:hAnsi="仿宋" w:cs="Arial"/>
          <w:b/>
          <w:color w:val="000000"/>
          <w:sz w:val="30"/>
          <w:szCs w:val="30"/>
        </w:rPr>
      </w:pPr>
      <w:r>
        <w:rPr>
          <w:rFonts w:ascii="黑体" w:eastAsia="黑体" w:hAnsi="仿宋" w:cs="Arial" w:hint="eastAsia"/>
          <w:b/>
          <w:color w:val="000000"/>
          <w:sz w:val="30"/>
          <w:szCs w:val="30"/>
        </w:rPr>
        <w:t>第一章 总</w:t>
      </w:r>
      <w:r w:rsidR="00A94F6F">
        <w:rPr>
          <w:rFonts w:ascii="黑体" w:eastAsia="黑体" w:hAnsi="仿宋" w:cs="Arial" w:hint="eastAsia"/>
          <w:b/>
          <w:color w:val="000000"/>
          <w:sz w:val="30"/>
          <w:szCs w:val="30"/>
        </w:rPr>
        <w:t xml:space="preserve">  </w:t>
      </w:r>
      <w:r>
        <w:rPr>
          <w:rFonts w:ascii="黑体" w:eastAsia="黑体" w:hAnsi="仿宋" w:cs="Arial" w:hint="eastAsia"/>
          <w:b/>
          <w:color w:val="000000"/>
          <w:sz w:val="30"/>
          <w:szCs w:val="30"/>
        </w:rPr>
        <w:t>则</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第一条 </w:t>
      </w:r>
      <w:r>
        <w:rPr>
          <w:rFonts w:ascii="仿宋_GB2312" w:eastAsia="仿宋_GB2312" w:hAnsiTheme="minorEastAsia" w:cs="Times New Roman"/>
          <w:bCs/>
          <w:color w:val="000000" w:themeColor="text1"/>
          <w:kern w:val="0"/>
          <w:sz w:val="30"/>
          <w:szCs w:val="30"/>
        </w:rPr>
        <w:t>为规范上市公司交易</w:t>
      </w:r>
      <w:r>
        <w:rPr>
          <w:rFonts w:ascii="仿宋_GB2312" w:eastAsia="仿宋_GB2312" w:hAnsiTheme="minorEastAsia" w:cs="Times New Roman" w:hint="eastAsia"/>
          <w:bCs/>
          <w:color w:val="000000" w:themeColor="text1"/>
          <w:kern w:val="0"/>
          <w:sz w:val="30"/>
          <w:szCs w:val="30"/>
        </w:rPr>
        <w:t>与关联</w:t>
      </w:r>
      <w:r>
        <w:rPr>
          <w:rFonts w:ascii="仿宋_GB2312" w:eastAsia="仿宋_GB2312" w:hAnsiTheme="minorEastAsia" w:cs="Times New Roman"/>
          <w:bCs/>
          <w:color w:val="000000" w:themeColor="text1"/>
          <w:kern w:val="0"/>
          <w:sz w:val="30"/>
          <w:szCs w:val="30"/>
        </w:rPr>
        <w:t>交易行为，提高上市公司规范运作水平，保护</w:t>
      </w:r>
      <w:r>
        <w:rPr>
          <w:rFonts w:ascii="仿宋_GB2312" w:eastAsia="仿宋_GB2312" w:hAnsiTheme="minorEastAsia" w:cs="Times New Roman" w:hint="eastAsia"/>
          <w:bCs/>
          <w:color w:val="000000" w:themeColor="text1"/>
          <w:kern w:val="0"/>
          <w:sz w:val="30"/>
          <w:szCs w:val="30"/>
        </w:rPr>
        <w:t>投资者</w:t>
      </w:r>
      <w:r>
        <w:rPr>
          <w:rFonts w:ascii="仿宋_GB2312" w:eastAsia="仿宋_GB2312" w:hAnsiTheme="minorEastAsia" w:cs="Times New Roman"/>
          <w:bCs/>
          <w:color w:val="000000" w:themeColor="text1"/>
          <w:kern w:val="0"/>
          <w:sz w:val="30"/>
          <w:szCs w:val="30"/>
        </w:rPr>
        <w:t>的合法权益，根据《中华人民共和国公司法》（以下简称《公司法》）、《中华人民共和国证券法》（以下简称《证券法》）和</w:t>
      </w:r>
      <w:r>
        <w:rPr>
          <w:rFonts w:ascii="仿宋_GB2312" w:eastAsia="仿宋_GB2312" w:hAnsiTheme="minorEastAsia" w:cs="Times New Roman" w:hint="eastAsia"/>
          <w:bCs/>
          <w:color w:val="000000" w:themeColor="text1"/>
          <w:kern w:val="0"/>
          <w:sz w:val="30"/>
          <w:szCs w:val="30"/>
        </w:rPr>
        <w:t>《上市公司信息披露管理办法》</w:t>
      </w:r>
      <w:r>
        <w:rPr>
          <w:rFonts w:ascii="仿宋_GB2312" w:eastAsia="仿宋_GB2312" w:hAnsiTheme="minorEastAsia" w:cs="Times New Roman"/>
          <w:bCs/>
          <w:color w:val="000000" w:themeColor="text1"/>
          <w:kern w:val="0"/>
          <w:sz w:val="30"/>
          <w:szCs w:val="30"/>
        </w:rPr>
        <w:t>等法律法规、部门规章、规范性文件，以及《上海证券交易所股票上市规则》</w:t>
      </w:r>
      <w:r>
        <w:rPr>
          <w:rFonts w:ascii="仿宋_GB2312" w:eastAsia="仿宋_GB2312" w:hAnsiTheme="minorEastAsia" w:cs="Times New Roman" w:hint="eastAsia"/>
          <w:bCs/>
          <w:color w:val="000000" w:themeColor="text1"/>
          <w:kern w:val="0"/>
          <w:sz w:val="30"/>
          <w:szCs w:val="30"/>
        </w:rPr>
        <w:t>《上海证券交易所科创板股票上市规则》（以下合称《股票上市规则》）</w:t>
      </w:r>
      <w:r>
        <w:rPr>
          <w:rFonts w:ascii="仿宋_GB2312" w:eastAsia="仿宋_GB2312" w:hAnsiTheme="minorEastAsia" w:cs="Times New Roman"/>
          <w:bCs/>
          <w:color w:val="000000" w:themeColor="text1"/>
          <w:kern w:val="0"/>
          <w:sz w:val="30"/>
          <w:szCs w:val="30"/>
        </w:rPr>
        <w:t>等</w:t>
      </w:r>
      <w:r>
        <w:rPr>
          <w:rFonts w:ascii="仿宋_GB2312" w:eastAsia="仿宋_GB2312" w:hAnsiTheme="minorEastAsia" w:cs="Times New Roman" w:hint="eastAsia"/>
          <w:bCs/>
          <w:color w:val="000000" w:themeColor="text1"/>
          <w:kern w:val="0"/>
          <w:sz w:val="30"/>
          <w:szCs w:val="30"/>
        </w:rPr>
        <w:t>业务规则</w:t>
      </w:r>
      <w:r>
        <w:rPr>
          <w:rFonts w:ascii="仿宋_GB2312" w:eastAsia="仿宋_GB2312" w:hAnsiTheme="minorEastAsia" w:cs="Times New Roman"/>
          <w:bCs/>
          <w:color w:val="000000" w:themeColor="text1"/>
          <w:kern w:val="0"/>
          <w:sz w:val="30"/>
          <w:szCs w:val="30"/>
        </w:rPr>
        <w:t>，制定本指引。</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第二条 </w:t>
      </w:r>
      <w:r>
        <w:rPr>
          <w:rFonts w:ascii="仿宋_GB2312" w:eastAsia="仿宋_GB2312" w:hAnsiTheme="minorEastAsia" w:cs="Times New Roman" w:hint="eastAsia"/>
          <w:bCs/>
          <w:color w:val="000000" w:themeColor="text1"/>
          <w:kern w:val="0"/>
          <w:sz w:val="30"/>
          <w:szCs w:val="30"/>
        </w:rPr>
        <w:t>上市公司发生《股票上市规则》规定的交易与关联交易事项适用本指引。</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第三条 </w:t>
      </w:r>
      <w:r>
        <w:rPr>
          <w:rFonts w:ascii="仿宋_GB2312" w:eastAsia="仿宋_GB2312" w:hAnsiTheme="minorEastAsia" w:cs="Times New Roman" w:hint="eastAsia"/>
          <w:bCs/>
          <w:color w:val="000000" w:themeColor="text1"/>
          <w:kern w:val="0"/>
          <w:sz w:val="30"/>
          <w:szCs w:val="30"/>
        </w:rPr>
        <w:t>上市公司应当建立健全交易与关联交易的内部控制制度，明确交易与关联交易的决策权限和审议程序，并在关联交易审议过程中严格实施关联董事和关联股东回避表决制度。</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公司交易与关联交易行为应当定价公允、审议程序合规、信息披露规范。</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第四条 </w:t>
      </w:r>
      <w:r>
        <w:rPr>
          <w:rFonts w:ascii="仿宋_GB2312" w:eastAsia="仿宋_GB2312" w:hAnsiTheme="minorEastAsia" w:cs="Times New Roman" w:hint="eastAsia"/>
          <w:bCs/>
          <w:color w:val="000000" w:themeColor="text1"/>
          <w:kern w:val="0"/>
          <w:sz w:val="30"/>
          <w:szCs w:val="30"/>
        </w:rPr>
        <w:t>上市公司交易与关联交易行为应当合法合规，不得隐瞒关联关系，不得通过将关联交易非关联化规避相关审议程序和信息披露义务。相关交易不得存在导致或者可能导致上市公司</w:t>
      </w:r>
      <w:r>
        <w:rPr>
          <w:rFonts w:ascii="仿宋_GB2312" w:eastAsia="仿宋_GB2312" w:hAnsiTheme="minorEastAsia" w:cs="Times New Roman" w:hint="eastAsia"/>
          <w:bCs/>
          <w:color w:val="000000" w:themeColor="text1"/>
          <w:kern w:val="0"/>
          <w:sz w:val="30"/>
          <w:szCs w:val="30"/>
        </w:rPr>
        <w:lastRenderedPageBreak/>
        <w:t>出现被控股股东、实际控制人及其他关联人非经营性资金占用、为关联人违规提供担保或者其他被关联人侵占利益的情形。</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第五条 </w:t>
      </w:r>
      <w:r>
        <w:rPr>
          <w:rFonts w:ascii="仿宋_GB2312" w:eastAsia="仿宋_GB2312" w:hAnsiTheme="minorEastAsia" w:cs="Times New Roman" w:hint="eastAsia"/>
          <w:bCs/>
          <w:color w:val="000000" w:themeColor="text1"/>
          <w:kern w:val="0"/>
          <w:sz w:val="30"/>
          <w:szCs w:val="30"/>
        </w:rPr>
        <w:t>上市公司在审议交易与关联交易事项时，应当详细了解交易标的真实状况和交易对方诚信记录、资信状况、履约能力等，审慎评估相关交易的必要性、合理性和对上市公司的影响，根据充分的定价依据确定交易价格。重点关注是否存在交易标的权属不清、交易对方履约能力不明、交易价格不公允等问题，并按照《股票上市规则》的要求聘请中介机构对交易标的进行审计或者评估。</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交易对方应当配合上市公司履行相应的审议程序和信息披露义务。</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第六条 </w:t>
      </w:r>
      <w:r>
        <w:rPr>
          <w:rFonts w:ascii="仿宋_GB2312" w:eastAsia="仿宋_GB2312" w:hAnsiTheme="minorEastAsia" w:cs="Times New Roman" w:hint="eastAsia"/>
          <w:bCs/>
          <w:color w:val="000000" w:themeColor="text1"/>
          <w:kern w:val="0"/>
          <w:sz w:val="30"/>
          <w:szCs w:val="30"/>
        </w:rPr>
        <w:t>上市公司应当及时通过本所业务管理</w:t>
      </w:r>
      <w:r>
        <w:rPr>
          <w:rFonts w:ascii="仿宋_GB2312" w:eastAsia="仿宋_GB2312" w:hAnsiTheme="minorEastAsia" w:cs="Times New Roman"/>
          <w:bCs/>
          <w:color w:val="000000" w:themeColor="text1"/>
          <w:kern w:val="0"/>
          <w:sz w:val="30"/>
          <w:szCs w:val="30"/>
        </w:rPr>
        <w:t>系统</w:t>
      </w:r>
      <w:r>
        <w:rPr>
          <w:rFonts w:ascii="仿宋_GB2312" w:eastAsia="仿宋_GB2312" w:hAnsiTheme="minorEastAsia" w:cs="Times New Roman" w:hint="eastAsia"/>
          <w:bCs/>
          <w:color w:val="000000" w:themeColor="text1"/>
          <w:kern w:val="0"/>
          <w:sz w:val="30"/>
          <w:szCs w:val="30"/>
        </w:rPr>
        <w:t>填报和更新上市公司关联人名单及关联关系信息。</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第七条 </w:t>
      </w:r>
      <w:r>
        <w:rPr>
          <w:rFonts w:ascii="仿宋_GB2312" w:eastAsia="仿宋_GB2312" w:hAnsiTheme="minorEastAsia" w:cs="Times New Roman" w:hint="eastAsia"/>
          <w:bCs/>
          <w:color w:val="000000" w:themeColor="text1"/>
          <w:kern w:val="0"/>
          <w:sz w:val="30"/>
          <w:szCs w:val="30"/>
        </w:rPr>
        <w:t>上市公司披露的交易事项涉及资产评估的，应当按照相关规定披露评估情况。</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提交股东大会审议的交易事项涉及的交易标的评估值较账面值增减值较大的，上市公司应当详细披露增减值原因、评估结果的推算过程。上市公司独立董事应当对评估机构的选聘、评估机构的独立性、评估假设的合理性和评估结论的公允性发表明确意见。</w:t>
      </w:r>
    </w:p>
    <w:p w:rsidR="00CB0C3E" w:rsidRDefault="00CB0C3E">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p>
    <w:p w:rsidR="00CB0C3E" w:rsidRDefault="00303848">
      <w:pPr>
        <w:spacing w:line="560" w:lineRule="exact"/>
        <w:jc w:val="center"/>
        <w:rPr>
          <w:rFonts w:ascii="黑体" w:eastAsia="黑体" w:hAnsi="仿宋" w:cs="Arial"/>
          <w:b/>
          <w:color w:val="000000"/>
          <w:sz w:val="30"/>
          <w:szCs w:val="30"/>
        </w:rPr>
      </w:pPr>
      <w:r>
        <w:rPr>
          <w:rFonts w:ascii="黑体" w:eastAsia="黑体" w:hAnsi="仿宋" w:cs="Arial" w:hint="eastAsia"/>
          <w:b/>
          <w:color w:val="000000"/>
          <w:sz w:val="30"/>
          <w:szCs w:val="30"/>
        </w:rPr>
        <w:t>第二章 关联交易的审议和</w:t>
      </w:r>
      <w:r>
        <w:rPr>
          <w:rFonts w:ascii="黑体" w:eastAsia="黑体" w:hAnsi="仿宋" w:cs="Arial"/>
          <w:b/>
          <w:color w:val="000000"/>
          <w:sz w:val="30"/>
          <w:szCs w:val="30"/>
        </w:rPr>
        <w:t>披露</w:t>
      </w:r>
    </w:p>
    <w:p w:rsidR="00CB0C3E" w:rsidRDefault="00303848">
      <w:pPr>
        <w:adjustRightInd w:val="0"/>
        <w:snapToGrid w:val="0"/>
        <w:spacing w:line="560" w:lineRule="exact"/>
        <w:jc w:val="center"/>
        <w:rPr>
          <w:rFonts w:ascii="仿宋_GB2312" w:eastAsia="仿宋_GB2312" w:hAnsiTheme="minorEastAsia" w:cs="Times New Roman"/>
          <w:b/>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第一节　财务公司关联交易</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第八条 </w:t>
      </w:r>
      <w:r>
        <w:rPr>
          <w:rFonts w:ascii="仿宋_GB2312" w:eastAsia="仿宋_GB2312" w:hAnsiTheme="minorEastAsia" w:cs="Times New Roman" w:hint="eastAsia"/>
          <w:bCs/>
          <w:color w:val="000000" w:themeColor="text1"/>
          <w:kern w:val="0"/>
          <w:sz w:val="30"/>
          <w:szCs w:val="30"/>
        </w:rPr>
        <w:t>上市公司与存在关联关系的企业集团财务公司 （以下简称财务公司）以及上市公司控股的财务公司与关联人发生存款、贷款等金融业务的，相关财务公司应当具备相应业务资质，且相关财务公司的基本财务指标应当符合中国人民银行、中国银行保险监督管理委员会等监管机构的规定。</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上市公司通过不具备相关业务资质的财务公司与关联人发生关联交易，构成关联人非经营性资金占用的，上市公司应当及时披露并按照规定予以解决。</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第九条 </w:t>
      </w:r>
      <w:r>
        <w:rPr>
          <w:rFonts w:ascii="仿宋_GB2312" w:eastAsia="仿宋_GB2312" w:hAnsiTheme="minorEastAsia" w:cs="Times New Roman" w:hint="eastAsia"/>
          <w:bCs/>
          <w:color w:val="000000" w:themeColor="text1"/>
          <w:kern w:val="0"/>
          <w:sz w:val="30"/>
          <w:szCs w:val="30"/>
        </w:rPr>
        <w:t>上市公司与存在关联关系的财务公司发生存款、贷款等金融业务的，应当以存款本金额度及利息、贷款利息金额中孰高为标准适用《股票上市规则》关联交易的相关规定。</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上市公司控股的财务公司与关联人发生存款、贷款等金融业务的，应当以存款利息、贷款本金额度及利息金额中孰高为标准适用《股票上市规则》的相关规定。</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第十条 </w:t>
      </w:r>
      <w:r>
        <w:rPr>
          <w:rFonts w:ascii="仿宋_GB2312" w:eastAsia="仿宋_GB2312" w:hAnsiTheme="minorEastAsia" w:cs="Times New Roman" w:hint="eastAsia"/>
          <w:bCs/>
          <w:color w:val="000000" w:themeColor="text1"/>
          <w:kern w:val="0"/>
          <w:sz w:val="30"/>
          <w:szCs w:val="30"/>
        </w:rPr>
        <w:t>上市公司与关联人发生涉及财务公司的关联交易应当签订金融服务协议，并作为单独议案提交董事会或者股东大会审议并披露。</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金融服务协议应当明确协议期限、交易类型、各类交易预计额度、交易定价、风险评估及控制措施等内容，并予以披露。</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金融服务协议超过3年的，应当每3年重新履行审议程序和信息披露义务。</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第十一条 </w:t>
      </w:r>
      <w:r>
        <w:rPr>
          <w:rFonts w:ascii="仿宋_GB2312" w:eastAsia="仿宋_GB2312" w:hAnsiTheme="minorEastAsia" w:cs="Times New Roman" w:hint="eastAsia"/>
          <w:bCs/>
          <w:color w:val="000000" w:themeColor="text1"/>
          <w:kern w:val="0"/>
          <w:sz w:val="30"/>
          <w:szCs w:val="30"/>
        </w:rPr>
        <w:t>上市公司与存在关联关系的财务公司签署金融服务协议，应当在资金存放于财务公司前取得并审阅财务公司经审计的年度财务报告，对财务公司的经营资质、业务和风险状况进行评估，出具风险评估报告，并作为单独议案提交董事会审议并披露。风险评估报告应当至少包括财务公司及其业务的合法合规情况、是否存在违反《企业集团财务公司管理办法》等规定情形、经符合《证券法》规定的会计师事务所审计的最近一年主要财务数据、持续风险评估措施等内容。</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第十二条 </w:t>
      </w:r>
      <w:r>
        <w:rPr>
          <w:rFonts w:ascii="仿宋_GB2312" w:eastAsia="仿宋_GB2312" w:hAnsiTheme="minorEastAsia" w:cs="Times New Roman" w:hint="eastAsia"/>
          <w:bCs/>
          <w:color w:val="000000" w:themeColor="text1"/>
          <w:kern w:val="0"/>
          <w:sz w:val="30"/>
          <w:szCs w:val="30"/>
        </w:rPr>
        <w:t>上市公司与关联人发生涉及财务公司的关联交易，上市公司应当制定以保障资金安全性为目标的风险处置预案，分析可能出现的影响上市公司资金安全的风险，针对相关风险提出解决措施及资金保全方案并明确相应责任人，作为单独议案提交董事会审议并披露。</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关联交易存续期间，上市公司应当指派专门机构和人员对存放于财务公司的资金风险状况进行动态评估和监督。如出现风险处置预案确定的风险情形，上市公司应当及时予以披露，并积极采取措施保障上市公司利益。财务公司等关联人应当及时书面告知上市公司，并配合上市公司履行信息披露义务。</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第十三条 </w:t>
      </w:r>
      <w:r>
        <w:rPr>
          <w:rFonts w:ascii="仿宋_GB2312" w:eastAsia="仿宋_GB2312" w:hAnsiTheme="minorEastAsia" w:cs="Times New Roman" w:hint="eastAsia"/>
          <w:bCs/>
          <w:color w:val="000000" w:themeColor="text1"/>
          <w:kern w:val="0"/>
          <w:sz w:val="30"/>
          <w:szCs w:val="30"/>
        </w:rPr>
        <w:t>上市公司独立董事应当对财务公司的资质、关联交易的必要性、公允性以及对上市公司的影响等发表意见，并对金融服务协议的合理性、风险评估报告的客观性和公正性、风险处置预案的充分性和可行性等发表意见。</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第十四条 </w:t>
      </w:r>
      <w:r>
        <w:rPr>
          <w:rFonts w:ascii="仿宋_GB2312" w:eastAsia="仿宋_GB2312" w:hAnsiTheme="minorEastAsia" w:cs="Times New Roman" w:hint="eastAsia"/>
          <w:bCs/>
          <w:color w:val="000000" w:themeColor="text1"/>
          <w:kern w:val="0"/>
          <w:sz w:val="30"/>
          <w:szCs w:val="30"/>
        </w:rPr>
        <w:t>上市公司与存在关联关系的财务公司或者上市公司控股的财务公司与关联人发生存款、贷款等关联交易的，应当披露存款、贷款利率等的确定方式，并与存款基准利率、贷款市场报价利率等指标对比，说明交易定价是否公允，是否充分保护上市公司利益和中小股东合法权益。</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第十五条 </w:t>
      </w:r>
      <w:r>
        <w:rPr>
          <w:rFonts w:ascii="仿宋_GB2312" w:eastAsia="仿宋_GB2312" w:hAnsiTheme="minorEastAsia" w:cs="Times New Roman" w:hint="eastAsia"/>
          <w:bCs/>
          <w:color w:val="000000" w:themeColor="text1"/>
          <w:kern w:val="0"/>
          <w:sz w:val="30"/>
          <w:szCs w:val="30"/>
        </w:rPr>
        <w:t>上市公司与关联人签订金融服务协议约定每年度各类金融业务规模，应当在协议期间内的每个年度及时披露预计业务情况：</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（一）该年度每日最高存款限额、存款利率范围；</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（二）该年度贷款额度、贷款利率范围；</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（三）该年度授信总额、其他金融业务额度等。</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上市公司与关联人签订超过一年的金融服务协议，约定每年度各类金融业务规模，并按照规定提交股东大会审议，且协议期间财务公司不存在违法违规、业务违约、资金安全性和可收回性难以保障等可能损害上市公司利益或者风险处置预案确定的风险情形的，上市公司应当按照前款规定履行信息披露义务，并就财务公司的合规经营情况和业务风险状况、资金安全性和可收回性，以及不存在其他风险情形等予以充分说明。</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如财务公司在协议期间发生前述风险情形，且上市公司拟继续在下一年度开展相关金融业务的，上市公司与关联人应当重新签订下一年度金融服务协议，充分说明继续开展相关金融业务的主要考虑及保障措施，并履行股东大会审议程序。</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第十六条 </w:t>
      </w:r>
      <w:r>
        <w:rPr>
          <w:rFonts w:ascii="仿宋_GB2312" w:eastAsia="仿宋_GB2312" w:hAnsiTheme="minorEastAsia" w:cs="Times New Roman" w:hint="eastAsia"/>
          <w:bCs/>
          <w:color w:val="000000" w:themeColor="text1"/>
          <w:kern w:val="0"/>
          <w:sz w:val="30"/>
          <w:szCs w:val="30"/>
        </w:rPr>
        <w:t>上市公司应当在定期报告中持续披露涉及财务公司的关联交易情况，每半年取得并审阅财务公司的财务报告，出具风险持续评估报告，并与半年度报告、年度报告同步披露。</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风险持续评估报告应当强化现金管理科学性，结合同行业其他上市公司资金支出情况，对报告期内资金收支的整体安排及其在财务公司存款是否将影响正常生产经营作出必要说明，包括是否存在重大经营性支出计划、同期在其他银行存贷款情况、在财务公司存款比例和贷款比例及其合理性、对外投资理财情况等。其中，上市公司在财务公司存（贷）款比例是指上市公司在财务公司的存（贷）款期末余额占其在财务公司和银行存（贷）款期末余额总额的比例。</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为上市公司提供审计服务的会计师事务所应当每年度提交涉及财务公司关联交易的存款、贷款等金融业务的专项说明，按照存款、贷款等不同金融业务类别，分别统计每年度的发生额、余额，并与年度报告同步披露。保荐人、独立财务顾问在持续督导期间应当每年度对金融服务协议条款的完备性、协议的执行情况、风险控制措施和风险处置预案的执行情况，以及上市公司对上述情况的信息披露的真实性进行专项核查，并与年度报告同步披露。独立董事应当结合会计师事务所等中介机构的专项说明，就涉及财务公司的关联交易事项是否公平、上市公司资金独立性、安全性以及是否存在被关联人占用的风险、是否损害上市公司利益等发表明确意见，并与年度报告同步披露。</w:t>
      </w:r>
    </w:p>
    <w:p w:rsidR="00CB0C3E" w:rsidRDefault="00303848">
      <w:pPr>
        <w:adjustRightInd w:val="0"/>
        <w:snapToGrid w:val="0"/>
        <w:spacing w:line="560" w:lineRule="exact"/>
        <w:jc w:val="center"/>
        <w:rPr>
          <w:rFonts w:ascii="仿宋_GB2312" w:eastAsia="仿宋_GB2312" w:hAnsiTheme="minorEastAsia" w:cs="Times New Roman"/>
          <w:b/>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第二节</w:t>
      </w:r>
      <w:r>
        <w:rPr>
          <w:rFonts w:ascii="仿宋_GB2312" w:eastAsia="仿宋_GB2312" w:hAnsiTheme="minorEastAsia" w:cs="Times New Roman"/>
          <w:b/>
          <w:bCs/>
          <w:color w:val="000000" w:themeColor="text1"/>
          <w:kern w:val="0"/>
          <w:sz w:val="30"/>
          <w:szCs w:val="30"/>
        </w:rPr>
        <w:t xml:space="preserve"> 关联共同投资</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bookmarkStart w:id="0" w:name="_Hlk89203609"/>
      <w:r>
        <w:rPr>
          <w:rFonts w:ascii="仿宋_GB2312" w:eastAsia="仿宋_GB2312" w:hAnsiTheme="minorEastAsia" w:cs="Times New Roman" w:hint="eastAsia"/>
          <w:b/>
          <w:bCs/>
          <w:color w:val="000000" w:themeColor="text1"/>
          <w:kern w:val="0"/>
          <w:sz w:val="30"/>
          <w:szCs w:val="30"/>
        </w:rPr>
        <w:t>第十七条</w:t>
      </w:r>
      <w:r>
        <w:rPr>
          <w:rFonts w:ascii="仿宋_GB2312" w:eastAsia="仿宋_GB2312" w:hAnsiTheme="minorEastAsia" w:cs="Times New Roman"/>
          <w:b/>
          <w:bCs/>
          <w:color w:val="000000" w:themeColor="text1"/>
          <w:kern w:val="0"/>
          <w:sz w:val="30"/>
          <w:szCs w:val="30"/>
        </w:rPr>
        <w:t xml:space="preserve"> </w:t>
      </w:r>
      <w:r>
        <w:rPr>
          <w:rFonts w:ascii="仿宋_GB2312" w:eastAsia="仿宋_GB2312" w:hAnsiTheme="minorEastAsia" w:cs="Times New Roman" w:hint="eastAsia"/>
          <w:bCs/>
          <w:color w:val="000000" w:themeColor="text1"/>
          <w:kern w:val="0"/>
          <w:sz w:val="30"/>
          <w:szCs w:val="30"/>
        </w:rPr>
        <w:t>上市公司与关联人共同投资，向共同投资的企业增资、减资时，应当以上市公司的投资、增资、减资金额作为计算标准，适用《股票上市规则》的相关规定。</w:t>
      </w:r>
      <w:bookmarkEnd w:id="0"/>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第十八条 </w:t>
      </w:r>
      <w:r>
        <w:rPr>
          <w:rFonts w:ascii="仿宋_GB2312" w:eastAsia="仿宋_GB2312" w:hAnsiTheme="minorEastAsia" w:cs="Times New Roman" w:hint="eastAsia"/>
          <w:bCs/>
          <w:color w:val="000000" w:themeColor="text1"/>
          <w:kern w:val="0"/>
          <w:sz w:val="30"/>
          <w:szCs w:val="30"/>
        </w:rPr>
        <w:t>上市公司关联人单方面向上市公司控制或者参股的企业增资或者减资，涉及有关放弃权利情形的，应当适用放弃权利的相关规定。不涉及放弃权利情形，但可能对上市公司的财务状况、经营成果构成重大影响或者导致上市公司与该主体的关联关系发生变化的，上市公司应当及时披露。</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第十九条</w:t>
      </w:r>
      <w:r>
        <w:rPr>
          <w:rFonts w:ascii="仿宋_GB2312" w:eastAsia="仿宋_GB2312" w:hAnsiTheme="minorEastAsia" w:cs="Times New Roman"/>
          <w:b/>
          <w:bCs/>
          <w:color w:val="000000" w:themeColor="text1"/>
          <w:kern w:val="0"/>
          <w:sz w:val="30"/>
          <w:szCs w:val="30"/>
        </w:rPr>
        <w:t xml:space="preserve"> </w:t>
      </w:r>
      <w:r>
        <w:rPr>
          <w:rFonts w:ascii="仿宋_GB2312" w:eastAsia="仿宋_GB2312" w:hAnsiTheme="minorEastAsia" w:cs="Times New Roman" w:hint="eastAsia"/>
          <w:bCs/>
          <w:color w:val="000000" w:themeColor="text1"/>
          <w:kern w:val="0"/>
          <w:sz w:val="30"/>
          <w:szCs w:val="30"/>
        </w:rPr>
        <w:t>上市公司及其关联人向上市公司控制的关联共同投资企业以同等对价同比例现金增资，达到应当提交股东大会审议标准的，可免于按照《股票上市规则》的相关规定进行审计或者评估。</w:t>
      </w:r>
    </w:p>
    <w:p w:rsidR="00CB0C3E" w:rsidRDefault="00303848">
      <w:pPr>
        <w:adjustRightInd w:val="0"/>
        <w:snapToGrid w:val="0"/>
        <w:spacing w:line="560" w:lineRule="exact"/>
        <w:jc w:val="center"/>
        <w:rPr>
          <w:rFonts w:ascii="仿宋_GB2312" w:eastAsia="仿宋_GB2312" w:hAnsiTheme="minorEastAsia" w:cs="Times New Roman"/>
          <w:b/>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第三节　日常关联交易</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第二十条 </w:t>
      </w:r>
      <w:r>
        <w:rPr>
          <w:rFonts w:ascii="仿宋_GB2312" w:eastAsia="仿宋_GB2312" w:hAnsiTheme="minorEastAsia" w:cs="Times New Roman" w:hint="eastAsia"/>
          <w:bCs/>
          <w:color w:val="000000" w:themeColor="text1"/>
          <w:kern w:val="0"/>
          <w:sz w:val="30"/>
          <w:szCs w:val="30"/>
        </w:rPr>
        <w:t>上市公司根据《股票上市规则》的相关规定对日常关联交易进行预计应当区分交易对方、交易类型等分别进行预计。</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关联人数量众多，上市公司难以披露全部关联人信息的，在充分说明原因的情况下可以简化披露，其中预计与单一法人主体发生交易金额达到《股票上市规则》规定披露标准的，应当单独列示关联人信息及预计交易金额，其他法人主体可以以同一控制为口径合并列示上述信息。</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第二十一条 </w:t>
      </w:r>
      <w:r>
        <w:rPr>
          <w:rFonts w:ascii="仿宋_GB2312" w:eastAsia="仿宋_GB2312" w:hAnsiTheme="minorEastAsia" w:cs="Times New Roman" w:hint="eastAsia"/>
          <w:bCs/>
          <w:color w:val="000000" w:themeColor="text1"/>
          <w:kern w:val="0"/>
          <w:sz w:val="30"/>
          <w:szCs w:val="30"/>
        </w:rPr>
        <w:t>上市公司对日常关联交易进行预计，在适用关于实际执行超出预计金额的规定时，以同一控制下的各个关联人与上市公司实际发生的各类关联交易合计金额与对应的预计总金额进行比较。非同一控制下的不同关联人与上市公司的关联交易金额不合并计算。</w:t>
      </w:r>
    </w:p>
    <w:p w:rsidR="00CB0C3E" w:rsidRDefault="00303848" w:rsidP="00FB6EE9">
      <w:pPr>
        <w:adjustRightInd w:val="0"/>
        <w:snapToGrid w:val="0"/>
        <w:spacing w:line="560" w:lineRule="exact"/>
        <w:ind w:firstLineChars="200" w:firstLine="602"/>
        <w:rPr>
          <w:rFonts w:eastAsia="仿宋_GB2312"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第二十二条 </w:t>
      </w:r>
      <w:r>
        <w:rPr>
          <w:rFonts w:ascii="仿宋_GB2312" w:eastAsia="仿宋_GB2312" w:hAnsiTheme="minorEastAsia" w:cs="Times New Roman" w:hint="eastAsia"/>
          <w:bCs/>
          <w:color w:val="000000" w:themeColor="text1"/>
          <w:kern w:val="0"/>
          <w:sz w:val="30"/>
          <w:szCs w:val="30"/>
        </w:rPr>
        <w:t>上市公司委托关联人销售公司生产或者经营的各种产品、商品，或者受关联人委托代为销售其生产或者经营的各种产品、商品的，除采取买断式委托方式的情形外，可以按照合同期内应当支付或者收取的委托代理费为标准适用《股票上市规则》的相关规定。</w:t>
      </w:r>
    </w:p>
    <w:p w:rsidR="00CB0C3E" w:rsidRDefault="00303848">
      <w:pPr>
        <w:adjustRightInd w:val="0"/>
        <w:snapToGrid w:val="0"/>
        <w:spacing w:line="560" w:lineRule="exact"/>
        <w:jc w:val="center"/>
        <w:rPr>
          <w:rFonts w:ascii="仿宋_GB2312" w:eastAsia="仿宋_GB2312" w:hAnsiTheme="minorEastAsia" w:cs="Times New Roman"/>
          <w:b/>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第四节 关联购买和出售资产</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第二十三条 </w:t>
      </w:r>
      <w:r>
        <w:rPr>
          <w:rFonts w:ascii="仿宋_GB2312" w:eastAsia="仿宋_GB2312" w:hAnsiTheme="minorEastAsia" w:cs="Times New Roman" w:hint="eastAsia"/>
          <w:bCs/>
          <w:color w:val="000000" w:themeColor="text1"/>
          <w:kern w:val="0"/>
          <w:sz w:val="30"/>
          <w:szCs w:val="30"/>
        </w:rPr>
        <w:t>上市公司向关联人购买或者出售资产，达到《股票上市规则》规定披露标准，且关联交易标的为公司股权的，上市公司应当披露该标的公司的基本情况、最近一年又一期的主要财务指标。</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标的公司最近</w:t>
      </w:r>
      <w:r>
        <w:rPr>
          <w:rFonts w:ascii="仿宋_GB2312" w:eastAsia="仿宋_GB2312" w:hAnsiTheme="minorEastAsia" w:cs="Times New Roman"/>
          <w:bCs/>
          <w:color w:val="000000" w:themeColor="text1"/>
          <w:kern w:val="0"/>
          <w:sz w:val="30"/>
          <w:szCs w:val="30"/>
        </w:rPr>
        <w:t>12个月内曾进行资产评估、增资、减资或者改制的，应当披露相关评估、增资、减资或者改制的基本情况。</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第二十四条 </w:t>
      </w:r>
      <w:r>
        <w:rPr>
          <w:rFonts w:ascii="仿宋_GB2312" w:eastAsia="仿宋_GB2312" w:hAnsiTheme="minorEastAsia" w:cs="Times New Roman" w:hint="eastAsia"/>
          <w:bCs/>
          <w:color w:val="000000" w:themeColor="text1"/>
          <w:kern w:val="0"/>
          <w:sz w:val="30"/>
          <w:szCs w:val="30"/>
        </w:rPr>
        <w:t>上市公司向关联人购买资产，按照规定须提交股东大会审议且成交价格相比交易标的账面值溢价超过100%的，如交易对方未提供在一定期限内交易标的盈利担保、补偿承诺或者交易标的回购承诺，上市公司应当说明具体原因，是否采取相关保障措施，是否有利于保护上市公司利益和中小股东合法权益。</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第二十五条 </w:t>
      </w:r>
      <w:r>
        <w:rPr>
          <w:rFonts w:ascii="仿宋_GB2312" w:eastAsia="仿宋_GB2312" w:hAnsiTheme="minorEastAsia" w:cs="Times New Roman" w:hint="eastAsia"/>
          <w:bCs/>
          <w:color w:val="000000" w:themeColor="text1"/>
          <w:kern w:val="0"/>
          <w:sz w:val="30"/>
          <w:szCs w:val="30"/>
        </w:rPr>
        <w:t>上市公司因购买或者出售资产可能导致交易完成后上市公司控股股东、实际控制人及其他关联人对上市公司形成非经营性资金占用的，应当在公告中明确合理的解决方案，并在相关交易实施完成前解决。</w:t>
      </w:r>
    </w:p>
    <w:p w:rsidR="00CB0C3E" w:rsidRDefault="00CB0C3E">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p>
    <w:p w:rsidR="00CB0C3E" w:rsidRDefault="00303848">
      <w:pPr>
        <w:spacing w:line="560" w:lineRule="exact"/>
        <w:jc w:val="center"/>
        <w:rPr>
          <w:rFonts w:ascii="黑体" w:eastAsia="黑体" w:hAnsi="仿宋" w:cs="Arial"/>
          <w:b/>
          <w:color w:val="000000"/>
          <w:sz w:val="30"/>
          <w:szCs w:val="30"/>
        </w:rPr>
      </w:pPr>
      <w:r>
        <w:rPr>
          <w:rFonts w:ascii="黑体" w:eastAsia="黑体" w:hAnsi="仿宋" w:cs="Arial" w:hint="eastAsia"/>
          <w:b/>
          <w:color w:val="000000"/>
          <w:sz w:val="30"/>
          <w:szCs w:val="30"/>
        </w:rPr>
        <w:t>第三章 重大交易的审议和披露</w:t>
      </w:r>
    </w:p>
    <w:p w:rsidR="00CB0C3E" w:rsidRDefault="00303848">
      <w:pPr>
        <w:adjustRightInd w:val="0"/>
        <w:snapToGrid w:val="0"/>
        <w:spacing w:line="560" w:lineRule="exact"/>
        <w:jc w:val="center"/>
        <w:rPr>
          <w:rFonts w:ascii="仿宋_GB2312" w:eastAsia="仿宋_GB2312" w:hAnsiTheme="minorEastAsia" w:cs="Times New Roman"/>
          <w:b/>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第一节 证券投资</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第二十六条</w:t>
      </w:r>
      <w:r>
        <w:rPr>
          <w:rFonts w:ascii="仿宋_GB2312" w:eastAsia="仿宋_GB2312" w:hAnsiTheme="minorEastAsia" w:cs="Times New Roman" w:hint="eastAsia"/>
          <w:bCs/>
          <w:color w:val="000000" w:themeColor="text1"/>
          <w:kern w:val="0"/>
          <w:sz w:val="30"/>
          <w:szCs w:val="30"/>
        </w:rPr>
        <w:t xml:space="preserve"> 上市公司从事证券投资适用本节规定。以证券投资为主营业务的上市公司及其控股子公司，其业务行为不适用本节规定。</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第二十七条</w:t>
      </w:r>
      <w:r>
        <w:rPr>
          <w:rFonts w:ascii="仿宋_GB2312" w:eastAsia="仿宋_GB2312" w:hAnsiTheme="minorEastAsia" w:cs="Times New Roman" w:hint="eastAsia"/>
          <w:bCs/>
          <w:color w:val="000000" w:themeColor="text1"/>
          <w:kern w:val="0"/>
          <w:sz w:val="30"/>
          <w:szCs w:val="30"/>
        </w:rPr>
        <w:t xml:space="preserve"> 上市公司应当合理安排、使用资金，致力发展公司主营业务，不得使用募集资金从事证券投资。</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第二十八条</w:t>
      </w:r>
      <w:r>
        <w:rPr>
          <w:rFonts w:ascii="仿宋_GB2312" w:eastAsia="仿宋_GB2312" w:hAnsiTheme="minorEastAsia" w:cs="Times New Roman" w:hint="eastAsia"/>
          <w:bCs/>
          <w:color w:val="000000" w:themeColor="text1"/>
          <w:kern w:val="0"/>
          <w:sz w:val="30"/>
          <w:szCs w:val="30"/>
        </w:rPr>
        <w:t xml:space="preserve"> 上市公司从事证券投资，应当遵循合法、审慎、安全、有效的原则，建立健全内控制度，控制投资风险。</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公司应当全面分析从事证券投资的必要性与可行性，制定严格的决策程序、报告制度、风险监控与应对措施，明确授权范围、操作要点与信息披露等具体要求，并根据公司的风险承受能力确定投资规模及期限。</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公司董事会应当持续跟踪证券投资的进展和风险状况，如发生较大损失等异常情况的，应当立即采取措施并按规定履行信息披露义务。</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第二十九条</w:t>
      </w:r>
      <w:r>
        <w:rPr>
          <w:rFonts w:ascii="仿宋_GB2312" w:eastAsia="仿宋_GB2312" w:hAnsiTheme="minorEastAsia" w:cs="Times New Roman" w:hint="eastAsia"/>
          <w:bCs/>
          <w:color w:val="000000" w:themeColor="text1"/>
          <w:kern w:val="0"/>
          <w:sz w:val="30"/>
          <w:szCs w:val="30"/>
        </w:rPr>
        <w:t xml:space="preserve"> 上市公司因交易频次和时效要求等原因难以对每次证券交易履行审议程序和披露义务的，可以对未来12个月内证券交易的范围、额度及期限等进行合理预计，证券投资额度超出董事会权限范围的，还应当提交股东大会审议。</w:t>
      </w:r>
    </w:p>
    <w:p w:rsidR="00CB0C3E" w:rsidRDefault="00303848">
      <w:pPr>
        <w:adjustRightInd w:val="0"/>
        <w:snapToGrid w:val="0"/>
        <w:spacing w:line="560" w:lineRule="exact"/>
        <w:ind w:firstLineChars="200" w:firstLine="600"/>
        <w:rPr>
          <w:rFonts w:ascii="仿宋_GB2312" w:eastAsia="仿宋_GB2312" w:hAnsiTheme="minorEastAsia" w:cs="Times New Roman"/>
          <w:b/>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相关额度的使用期限不应超过12个月，期限内任一时点的交易金额（含前述投资的收益进行再投资的相关金额）不应超过经审议的证券投资额度。</w:t>
      </w:r>
    </w:p>
    <w:p w:rsidR="00CB0C3E" w:rsidRDefault="00303848">
      <w:pPr>
        <w:adjustRightInd w:val="0"/>
        <w:snapToGrid w:val="0"/>
        <w:spacing w:line="560" w:lineRule="exact"/>
        <w:jc w:val="center"/>
        <w:rPr>
          <w:rFonts w:ascii="仿宋_GB2312" w:eastAsia="仿宋_GB2312" w:hAnsiTheme="minorEastAsia" w:cs="Times New Roman"/>
          <w:b/>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第二节</w:t>
      </w:r>
      <w:r>
        <w:rPr>
          <w:rFonts w:ascii="仿宋_GB2312" w:eastAsia="仿宋_GB2312" w:hAnsiTheme="minorEastAsia" w:cs="Times New Roman"/>
          <w:b/>
          <w:bCs/>
          <w:color w:val="000000" w:themeColor="text1"/>
          <w:kern w:val="0"/>
          <w:sz w:val="30"/>
          <w:szCs w:val="30"/>
        </w:rPr>
        <w:t xml:space="preserve"> </w:t>
      </w:r>
      <w:r>
        <w:rPr>
          <w:rFonts w:ascii="仿宋_GB2312" w:eastAsia="仿宋_GB2312" w:hAnsiTheme="minorEastAsia" w:cs="Times New Roman" w:hint="eastAsia"/>
          <w:b/>
          <w:bCs/>
          <w:color w:val="000000" w:themeColor="text1"/>
          <w:kern w:val="0"/>
          <w:sz w:val="30"/>
          <w:szCs w:val="30"/>
        </w:rPr>
        <w:t>委托理财</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第三十条 </w:t>
      </w:r>
      <w:r>
        <w:rPr>
          <w:rFonts w:ascii="仿宋_GB2312" w:eastAsia="仿宋_GB2312" w:hAnsiTheme="minorEastAsia" w:cs="Times New Roman" w:hint="eastAsia"/>
          <w:bCs/>
          <w:color w:val="000000" w:themeColor="text1"/>
          <w:kern w:val="0"/>
          <w:sz w:val="30"/>
          <w:szCs w:val="30"/>
        </w:rPr>
        <w:t>上市公司进行委托理财的，应当建立健全委托理财专项制度，明确决策程序、报告制度、内部控制及风险监控管理措施等。</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公司应当选择资信状况及财务状况良好、无不良诚信记录以及盈利能力强的合格专业理财机构作为受托方，并与受托方签订书面合同，明确委托理财的金额、期限、投资品种、双方的权利义务及法律责任等。</w:t>
      </w:r>
    </w:p>
    <w:p w:rsidR="00CB0C3E" w:rsidRDefault="00303848">
      <w:pPr>
        <w:widowControl/>
        <w:adjustRightInd w:val="0"/>
        <w:spacing w:line="560" w:lineRule="exact"/>
        <w:ind w:firstLineChars="200" w:firstLine="600"/>
        <w:contextualSpacing/>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以资金管理、投资理财等投融资活动为主营业务的持有金融牌照的上市公司及其控股子公司，其业务行为不适用本节规定。</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第三十一条 </w:t>
      </w:r>
      <w:r>
        <w:rPr>
          <w:rFonts w:ascii="仿宋_GB2312" w:eastAsia="仿宋_GB2312" w:hAnsiTheme="minorEastAsia" w:cs="Times New Roman" w:hint="eastAsia"/>
          <w:bCs/>
          <w:color w:val="000000" w:themeColor="text1"/>
          <w:kern w:val="0"/>
          <w:sz w:val="30"/>
          <w:szCs w:val="30"/>
        </w:rPr>
        <w:t>上市公司不得通过委托理财等投资的名义规避购买资产或者对外投资应当履行的审议程序和信息披露义务，或者变相为他人提供财务资助。</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公司可以对理财产品资金投向实施控制或者重大影响的，应当充分披露资金最终投向、涉及的交易对手方或者标的资产的详细情况，并充分揭示投资风险以及公司的应对措施。</w:t>
      </w:r>
    </w:p>
    <w:p w:rsidR="00CB0C3E" w:rsidRDefault="00303848">
      <w:pPr>
        <w:snapToGrid w:val="0"/>
        <w:spacing w:line="560" w:lineRule="exact"/>
        <w:ind w:firstLine="540"/>
        <w:rPr>
          <w:rFonts w:ascii="仿宋_GB2312" w:eastAsia="仿宋_GB2312" w:hAnsi="宋体" w:cs="Times New Roman"/>
          <w:sz w:val="30"/>
          <w:szCs w:val="30"/>
        </w:rPr>
      </w:pPr>
      <w:r>
        <w:rPr>
          <w:rFonts w:ascii="仿宋_GB2312" w:eastAsia="仿宋_GB2312" w:hAnsi="宋体" w:cs="Times New Roman" w:hint="eastAsia"/>
          <w:b/>
          <w:sz w:val="30"/>
          <w:szCs w:val="30"/>
        </w:rPr>
        <w:t>第三十二条</w:t>
      </w:r>
      <w:r>
        <w:rPr>
          <w:rFonts w:ascii="仿宋_GB2312" w:eastAsia="仿宋_GB2312" w:hAnsi="宋体" w:cs="Times New Roman" w:hint="eastAsia"/>
          <w:sz w:val="30"/>
          <w:szCs w:val="30"/>
        </w:rPr>
        <w:t xml:space="preserve"> 上市公司进行委托理财，因交易频次和时效要求等原因难以对每次投资交易履行审议程序和披露义务的，可以对投资范围、额度及期限等进行合理预计，以预计的委托理财额度计算占净资产的比例，适用《股票上市规则》的有关规定。</w:t>
      </w:r>
    </w:p>
    <w:p w:rsidR="00CB0C3E" w:rsidRDefault="00303848">
      <w:pPr>
        <w:snapToGrid w:val="0"/>
        <w:spacing w:line="560" w:lineRule="exact"/>
        <w:ind w:firstLine="540"/>
        <w:rPr>
          <w:rFonts w:ascii="仿宋_GB2312" w:eastAsia="仿宋_GB2312" w:hAnsi="宋体" w:cs="Times New Roman"/>
          <w:sz w:val="30"/>
          <w:szCs w:val="30"/>
        </w:rPr>
      </w:pPr>
      <w:r>
        <w:rPr>
          <w:rFonts w:ascii="仿宋_GB2312" w:eastAsia="仿宋_GB2312" w:hAnsi="宋体" w:cs="Times New Roman" w:hint="eastAsia"/>
          <w:sz w:val="30"/>
          <w:szCs w:val="30"/>
        </w:rPr>
        <w:t>相关额度的使用期限不应超过12个月，期限内任一时点的交易金额（含前述委托理财的收益进行委托理财再投资的相关金额）不应超过委托理财额度。</w:t>
      </w:r>
    </w:p>
    <w:p w:rsidR="00CB0C3E" w:rsidRDefault="00303848">
      <w:pPr>
        <w:snapToGrid w:val="0"/>
        <w:spacing w:line="560" w:lineRule="exact"/>
        <w:ind w:firstLine="540"/>
        <w:rPr>
          <w:rFonts w:ascii="仿宋_GB2312" w:eastAsia="仿宋_GB2312" w:hAnsi="宋体" w:cs="Times New Roman"/>
          <w:sz w:val="30"/>
          <w:szCs w:val="30"/>
        </w:rPr>
      </w:pPr>
      <w:r>
        <w:rPr>
          <w:rFonts w:ascii="仿宋_GB2312" w:eastAsia="仿宋_GB2312" w:hAnsi="宋体" w:cs="Times New Roman"/>
          <w:sz w:val="30"/>
          <w:szCs w:val="30"/>
        </w:rPr>
        <w:t>科创板上市公司</w:t>
      </w:r>
      <w:r>
        <w:rPr>
          <w:rFonts w:ascii="仿宋_GB2312" w:eastAsia="仿宋_GB2312" w:hAnsi="宋体" w:cs="Times New Roman" w:hint="eastAsia"/>
          <w:sz w:val="30"/>
          <w:szCs w:val="30"/>
        </w:rPr>
        <w:t>适用本条</w:t>
      </w:r>
      <w:r>
        <w:rPr>
          <w:rFonts w:ascii="仿宋_GB2312" w:eastAsia="仿宋_GB2312" w:hAnsi="宋体" w:cs="Times New Roman"/>
          <w:sz w:val="30"/>
          <w:szCs w:val="30"/>
        </w:rPr>
        <w:t>规定时，净资产指标调整为市值指标。</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第三十三条 </w:t>
      </w:r>
      <w:r>
        <w:rPr>
          <w:rFonts w:ascii="仿宋_GB2312" w:eastAsia="仿宋_GB2312" w:hAnsiTheme="minorEastAsia" w:cs="Times New Roman" w:hint="eastAsia"/>
          <w:bCs/>
          <w:color w:val="000000" w:themeColor="text1"/>
          <w:kern w:val="0"/>
          <w:sz w:val="30"/>
          <w:szCs w:val="30"/>
        </w:rPr>
        <w:t>上市公司进行委托理财，发生以下情形之一的，应当及时披露相关进展情况和拟采取的应对措施：</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（一）理财产品募集失败、未能完成备案登记、提前终止、到期不能收回；</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（二）理财产品协议或者相关担保合同主要条款变更；</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（三）受托方、资金使用方经营或者财务状况出现重大风险事件；</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（四）其他可能会损害上市公司利益或者具有重要影响的情形。</w:t>
      </w:r>
    </w:p>
    <w:p w:rsidR="00CB0C3E" w:rsidRDefault="00303848">
      <w:pPr>
        <w:adjustRightInd w:val="0"/>
        <w:snapToGrid w:val="0"/>
        <w:spacing w:line="560" w:lineRule="exact"/>
        <w:jc w:val="center"/>
        <w:rPr>
          <w:rFonts w:ascii="仿宋_GB2312" w:eastAsia="仿宋_GB2312" w:hAnsiTheme="minorEastAsia" w:cs="Times New Roman"/>
          <w:b/>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第三节 与专业投资机构共同投资及合作</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第三十四条 </w:t>
      </w:r>
      <w:r>
        <w:rPr>
          <w:rFonts w:ascii="仿宋_GB2312" w:eastAsia="仿宋_GB2312" w:hAnsiTheme="minorEastAsia" w:cs="Times New Roman" w:hint="eastAsia"/>
          <w:bCs/>
          <w:color w:val="000000" w:themeColor="text1"/>
          <w:kern w:val="0"/>
          <w:sz w:val="30"/>
          <w:szCs w:val="30"/>
        </w:rPr>
        <w:t>主板上市公司与专业投资机构共同设立并购基金或者产业基金等投资基金（以下简称投资基金，组织形式包括但不限于公司制、普通合伙、有限合伙等），认购专业投资机构发起设立的投资基金份额，与上述投资基金进行后续资产交易，以及上市公司与专业投资机构签订战略合作、市值管理、财务顾问、业务咨询等合作协议（以下简称合作协议），适用本节规定。</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上市公司控股股东、实际控制人、持股5%以上的股东、董事、监事、高级管理人员与专业投资机构进行合作，涉及向上市公司购买或者转让资产等相关安排的，参照本节规定执行。</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上市公司及其控股子公司因实施证券发行、权益变动、股权激励等事项按照相关规定与中介机构签订财务顾问、业务咨询等合作协议，或者以资金管理、投资理财、经纪业务等投融资活动为主营业务的持有金融牌照的上市公司及其控股子公司涉及本节规定的共同投资及合作事项的，可免于适用本节规定。</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本节所称专业投资机构是指私募基金、私募基金管理人、基金管理公司、证券公司、期货公司、资产管理公司及证券投资咨询机构等专业从事投资业务活动的机构。</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第三十五条 </w:t>
      </w:r>
      <w:r>
        <w:rPr>
          <w:rFonts w:ascii="仿宋_GB2312" w:eastAsia="仿宋_GB2312" w:hAnsiTheme="minorEastAsia" w:cs="Times New Roman" w:hint="eastAsia"/>
          <w:bCs/>
          <w:color w:val="000000" w:themeColor="text1"/>
          <w:kern w:val="0"/>
          <w:sz w:val="30"/>
          <w:szCs w:val="30"/>
        </w:rPr>
        <w:t>上市公司与专业投资机构共同投资，无论参与金额大小均应当及时披露，并以其承担的最大损失金额，参照上市公司对外投资相关规定履行相应的审议程序，构成关联交易的还应当履行关联交易审议程序。</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前款所称“最大损失金额”，应当以上市公司因本次投资可能损失的投资总额、股份权益或者承担其他责任可能导致的损失金额的较高者为准。</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第三十六条 </w:t>
      </w:r>
      <w:r>
        <w:rPr>
          <w:rFonts w:ascii="仿宋_GB2312" w:eastAsia="仿宋_GB2312" w:hAnsiTheme="minorEastAsia" w:cs="Times New Roman" w:hint="eastAsia"/>
          <w:bCs/>
          <w:color w:val="000000" w:themeColor="text1"/>
          <w:kern w:val="0"/>
          <w:sz w:val="30"/>
          <w:szCs w:val="30"/>
        </w:rPr>
        <w:t>上市公司与专业投资机构共同投资，应当及时披露相关公告，并向本所报备有关协议。公告内容应当包括专业投资机构基本情况、关联关系或其他利益关系说明、投资基金的具体情况、管理模式、投资模式和利益分配方式、投资协议主要条款，并说明对上市公司的影响和存在的风险，是否可能导致同业竞争或者关联交易等。</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如上市公司控股股东、实际控制人、持股5%以上的股东、董事、监事、高级管理人员参与投资基金份额认购、在有关专业投资机构或者投资基金中任职的，还应当在公告中说明具体情况。</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第三十七条 </w:t>
      </w:r>
      <w:r>
        <w:rPr>
          <w:rFonts w:ascii="仿宋_GB2312" w:eastAsia="仿宋_GB2312" w:hAnsiTheme="minorEastAsia" w:cs="Times New Roman" w:hint="eastAsia"/>
          <w:bCs/>
          <w:color w:val="000000" w:themeColor="text1"/>
          <w:kern w:val="0"/>
          <w:sz w:val="30"/>
          <w:szCs w:val="30"/>
        </w:rPr>
        <w:t>上市公司将超募资金用于永久性补充流动资金后的12个月内，不得与专业投资机构共同投资。</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公司与专业投资机构共同投资与主营业务相关的投资基金，或者市场化运作的贫困地区产业投资基金和扶贫公益基金等投资基金，不适用前款规定。</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第三十八条 </w:t>
      </w:r>
      <w:r>
        <w:rPr>
          <w:rFonts w:ascii="仿宋_GB2312" w:eastAsia="仿宋_GB2312" w:hAnsiTheme="minorEastAsia" w:cs="Times New Roman" w:hint="eastAsia"/>
          <w:bCs/>
          <w:color w:val="000000" w:themeColor="text1"/>
          <w:kern w:val="0"/>
          <w:sz w:val="30"/>
          <w:szCs w:val="30"/>
        </w:rPr>
        <w:t>上市公司与专业投资机构共同投资，发生以下情形时，应当及时披露相关进展情况：</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（一）拟参与设立或者认购份额的投资基金募集完毕或者募集失败；</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（二）投资基金完成备案登记（如涉及）；</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（三）投资基金进行对上市公司具有重大影响的投资或者资产收购事项；</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（四）投资基金发生重大变更事项或者投资运作出现重大风险事件，可能会对上市公司造成较大影响。</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第三十九条 </w:t>
      </w:r>
      <w:r>
        <w:rPr>
          <w:rFonts w:ascii="仿宋_GB2312" w:eastAsia="仿宋_GB2312" w:hAnsiTheme="minorEastAsia" w:cs="Times New Roman" w:hint="eastAsia"/>
          <w:bCs/>
          <w:color w:val="000000" w:themeColor="text1"/>
          <w:kern w:val="0"/>
          <w:sz w:val="30"/>
          <w:szCs w:val="30"/>
        </w:rPr>
        <w:t>上市公司与专业投资机构签订合作协议的，应当披露专业投资机构基本情况、与上市公司存在的关联关系或者其他利益关系，并完整披露合作协议主要条款、专业投资机构提供服务内容等，并对合作协议可能存在的风险进行充分揭示。上市公司应当完整披露与专业投资机构签订的各项协议，并承诺不存在其他未披露的协议。</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第四十条 </w:t>
      </w:r>
      <w:r>
        <w:rPr>
          <w:rFonts w:ascii="仿宋_GB2312" w:eastAsia="仿宋_GB2312" w:hAnsiTheme="minorEastAsia" w:cs="Times New Roman" w:hint="eastAsia"/>
          <w:bCs/>
          <w:color w:val="000000" w:themeColor="text1"/>
          <w:kern w:val="0"/>
          <w:sz w:val="30"/>
          <w:szCs w:val="30"/>
        </w:rPr>
        <w:t>上市公司与专业投资机构签订合作协议，发生以下情形时，应当及时披露相关进展情况：</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（一）完成合作协议约定的各项主要义务或者计划安排；</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（二）根据合作协议筹划对公司有重大影响的事项；</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（三）合作协议发生重大变更或者提前终止。</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第四十一条 </w:t>
      </w:r>
      <w:r>
        <w:rPr>
          <w:rFonts w:ascii="仿宋_GB2312" w:eastAsia="仿宋_GB2312" w:hAnsiTheme="minorEastAsia" w:cs="Times New Roman" w:hint="eastAsia"/>
          <w:bCs/>
          <w:color w:val="000000" w:themeColor="text1"/>
          <w:kern w:val="0"/>
          <w:sz w:val="30"/>
          <w:szCs w:val="30"/>
        </w:rPr>
        <w:t>上市公司与专业投资机构存在前述共同投资及合作事项，又购买其直接、间接持有或者推荐的交易标的，除按照法律、行政法规、部门规章、规范性文件及本所《股票上市规则》等相关规定进行信息披露外，还应当披露该专业投资机构及其控制的其他主体，管理的全部基金、信托、资产管理计划等产品在交易标的中持有的股份或者投资份额情况，最近6个月内买卖上市公司股票情况，与上市公司及交易标的存在的关联关系及其他利益关系等情况。</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第四十二条 </w:t>
      </w:r>
      <w:r>
        <w:rPr>
          <w:rFonts w:ascii="仿宋_GB2312" w:eastAsia="仿宋_GB2312" w:hAnsiTheme="minorEastAsia" w:cs="Times New Roman" w:hint="eastAsia"/>
          <w:bCs/>
          <w:color w:val="000000" w:themeColor="text1"/>
          <w:kern w:val="0"/>
          <w:sz w:val="30"/>
          <w:szCs w:val="30"/>
        </w:rPr>
        <w:t>上市公司与专业投资机构共同投资及合作事项的筹划和实施过程中，应当建立有效的防范利益输送与利益冲突的机制，健全信息隔离制度，不得从事内幕交易、操纵市场、虚假陈述等违法违规行为。</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第四十三条 </w:t>
      </w:r>
      <w:r>
        <w:rPr>
          <w:rFonts w:ascii="仿宋_GB2312" w:eastAsia="仿宋_GB2312" w:hAnsiTheme="minorEastAsia" w:cs="Times New Roman" w:hint="eastAsia"/>
          <w:bCs/>
          <w:color w:val="000000" w:themeColor="text1"/>
          <w:kern w:val="0"/>
          <w:sz w:val="30"/>
          <w:szCs w:val="30"/>
        </w:rPr>
        <w:t>上市公司应当在年度报告披露与专业投资机构共同投资及合作事项进展情况。</w:t>
      </w:r>
    </w:p>
    <w:p w:rsidR="00CB0C3E" w:rsidRDefault="00303848">
      <w:pPr>
        <w:adjustRightInd w:val="0"/>
        <w:snapToGrid w:val="0"/>
        <w:spacing w:line="560" w:lineRule="exact"/>
        <w:jc w:val="center"/>
        <w:rPr>
          <w:rFonts w:ascii="仿宋_GB2312" w:eastAsia="仿宋_GB2312" w:hAnsiTheme="minorEastAsia" w:cs="Times New Roman"/>
          <w:b/>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    第四节</w:t>
      </w:r>
      <w:r>
        <w:rPr>
          <w:rFonts w:ascii="仿宋_GB2312" w:eastAsia="仿宋_GB2312" w:hAnsiTheme="minorEastAsia" w:cs="Times New Roman"/>
          <w:b/>
          <w:bCs/>
          <w:color w:val="000000" w:themeColor="text1"/>
          <w:kern w:val="0"/>
          <w:sz w:val="30"/>
          <w:szCs w:val="30"/>
        </w:rPr>
        <w:t xml:space="preserve"> </w:t>
      </w:r>
      <w:r>
        <w:rPr>
          <w:rFonts w:ascii="仿宋_GB2312" w:eastAsia="仿宋_GB2312" w:hAnsiTheme="minorEastAsia" w:cs="Times New Roman" w:hint="eastAsia"/>
          <w:b/>
          <w:bCs/>
          <w:color w:val="000000" w:themeColor="text1"/>
          <w:kern w:val="0"/>
          <w:sz w:val="30"/>
          <w:szCs w:val="30"/>
        </w:rPr>
        <w:t>期货和衍生品交易</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第四十四条</w:t>
      </w:r>
      <w:r>
        <w:rPr>
          <w:rFonts w:ascii="仿宋_GB2312" w:eastAsia="仿宋_GB2312" w:hAnsiTheme="minorEastAsia" w:cs="Times New Roman" w:hint="eastAsia"/>
          <w:bCs/>
          <w:color w:val="000000" w:themeColor="text1"/>
          <w:kern w:val="0"/>
          <w:sz w:val="30"/>
          <w:szCs w:val="30"/>
        </w:rPr>
        <w:t xml:space="preserve"> 上市公司从事期货和衍生品交易的，适用本节规定。以期货和衍生品交易为主营业务的上市公司及其控股子公司，其业务行为不适用本节规定。</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第四十五条</w:t>
      </w:r>
      <w:r>
        <w:rPr>
          <w:rFonts w:ascii="仿宋_GB2312" w:eastAsia="仿宋_GB2312" w:hAnsiTheme="minorEastAsia" w:cs="Times New Roman" w:hint="eastAsia"/>
          <w:bCs/>
          <w:color w:val="000000" w:themeColor="text1"/>
          <w:kern w:val="0"/>
          <w:sz w:val="30"/>
          <w:szCs w:val="30"/>
        </w:rPr>
        <w:t xml:space="preserve"> 本节所述期货交易是指以期货合约或者标准化期权合约为交易标的的交易活动。本节所述衍生品交易是指期货交易以外的，以互换合约、远期合约和非标准化期权合约及其组合为交易标的的交易活动。期货和衍生品的基础资产既可以是证券、指数、利率、汇率、货币、商品等标的，也可以是上述标的的组合。</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第四十六条 </w:t>
      </w:r>
      <w:r>
        <w:rPr>
          <w:rFonts w:ascii="仿宋_GB2312" w:eastAsia="仿宋_GB2312" w:hAnsiTheme="minorEastAsia" w:cs="Times New Roman" w:hint="eastAsia"/>
          <w:bCs/>
          <w:color w:val="000000" w:themeColor="text1"/>
          <w:kern w:val="0"/>
          <w:sz w:val="30"/>
          <w:szCs w:val="30"/>
        </w:rPr>
        <w:t>上市公司参与期货和衍生品交易应当遵循合法、审慎、安全、有效的原则。本所支持内部控制制度健全、具备风险管理能力的上市公司利用期货市场和衍生品市场从事套期保值等风险管理活动，不鼓励公司从事以投机为目的的期货和衍生品交易。</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公司不得使用募集资金从事期货和衍生品交易。</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第四十七条 </w:t>
      </w:r>
      <w:r>
        <w:rPr>
          <w:rFonts w:ascii="仿宋_GB2312" w:eastAsia="仿宋_GB2312" w:hAnsiTheme="minorEastAsia" w:cs="Times New Roman" w:hint="eastAsia"/>
          <w:bCs/>
          <w:color w:val="000000" w:themeColor="text1"/>
          <w:kern w:val="0"/>
          <w:sz w:val="30"/>
          <w:szCs w:val="30"/>
        </w:rPr>
        <w:t>上市公司从事套期保值业务，是指为管理外汇风险、价格风险、利率风险、信用风险等特定风险而达成与上述风险基本吻合的期货和衍生品交易的活动。公司从事套期保值业务的期货和衍生品品种应当仅限于与公司生产经营相关的产品、原材料和外汇等，且原则上应当控制期货和衍生品在种类、规模及期限上与需管理的风险敞口相匹配。用于套期保值的衍生品与需管理的相关风险敞口应当存在相互风险对冲的经济关系，使得衍生工具和相关风险敞口的价值因面临相同的风险因素而发生方向相反的变动。</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 xml:space="preserve">本节所述套期保值业务主要包括以下类型的交易活动： </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（一）对已持有的现货库存进行卖出套期保值；</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（二）对已签订的固定价格的购销合同进行套期保值，包括对原材料采购合同进行空头套期保值、对产成品销售合同进行多头套期保值，对已定价贸易合同进行与合同方向相反的套期保值；</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（三）对已签订的浮动价格的购销合同进行套期保值，包括对原材料采购合同进行多头套期保值、对产成品销售合同进行空头套期保值，对浮动价格贸易合同进行与合同方向相同的套期保值；</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（四）根据生产经营计划，对预期采购量或预期产量进行套期保值，包括对预期原材料采购进行多头套期保值、对预期产成品进行空头套期保值;</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（五）根据生产经营计划，对拟履行进出口合同中涉及的预期收付汇进行套期保值;</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（六）根据投资融资计划，对拟发生或已发生的外币投资或资产、融资或负债、浮动利率计息负债的本息偿还进行套期保值；</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（七）本所认定的其他情形。</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以签出期权或构成净签出期权的组合作为套期工具时，应当满足《企业会计准则第24号——套期会计》的相关规定。</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第四十八条 </w:t>
      </w:r>
      <w:r>
        <w:rPr>
          <w:rFonts w:ascii="仿宋_GB2312" w:eastAsia="仿宋_GB2312" w:hAnsiTheme="minorEastAsia" w:cs="Times New Roman" w:hint="eastAsia"/>
          <w:bCs/>
          <w:color w:val="000000" w:themeColor="text1"/>
          <w:kern w:val="0"/>
          <w:sz w:val="30"/>
          <w:szCs w:val="30"/>
        </w:rPr>
        <w:t>上市公司从事期货和衍生品交易应当建立健全内部控制制度，合理配备投资决策、业务操作、风险控制等专业人员，制定严格的决策程序、报告制度和风险监控措施，明确授权范围、操作要点、会计核算及信息披露等具体要求，并根据公司的风险承受能力确定交易品种、规模及期限。</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公司应当指定董事会相关委员会审查期货和衍生品交易的必要性、可行性及风险控制情况，必要时可以聘请专业机构出具可行性分析报告。董事会相关委员会应加强对期货和衍生品交易相关风险控制政策和程序的评价与监督，及时识别相关内部控制缺陷并采取补救措施。</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公司应当制定切实可行的应急处置预案，以及时应对交易过程中可能发生的重大突发事件。</w:t>
      </w:r>
      <w:r>
        <w:rPr>
          <w:rFonts w:ascii="仿宋_GB2312" w:eastAsia="仿宋_GB2312" w:hAnsiTheme="minorEastAsia" w:cs="Times New Roman"/>
          <w:bCs/>
          <w:color w:val="000000" w:themeColor="text1"/>
          <w:kern w:val="0"/>
          <w:sz w:val="30"/>
          <w:szCs w:val="30"/>
        </w:rPr>
        <w:t>公司</w:t>
      </w:r>
      <w:r>
        <w:rPr>
          <w:rFonts w:ascii="仿宋_GB2312" w:eastAsia="仿宋_GB2312" w:hAnsiTheme="minorEastAsia" w:cs="Times New Roman" w:hint="eastAsia"/>
          <w:bCs/>
          <w:color w:val="000000" w:themeColor="text1"/>
          <w:kern w:val="0"/>
          <w:sz w:val="30"/>
          <w:szCs w:val="30"/>
        </w:rPr>
        <w:t>应当针对各类期货和衍生品或者不同交易对手设定适当的止损限额（或</w:t>
      </w:r>
      <w:r>
        <w:rPr>
          <w:rFonts w:ascii="仿宋_GB2312" w:eastAsia="仿宋_GB2312" w:hAnsiTheme="minorEastAsia" w:cs="Times New Roman"/>
          <w:bCs/>
          <w:color w:val="000000" w:themeColor="text1"/>
          <w:kern w:val="0"/>
          <w:sz w:val="30"/>
          <w:szCs w:val="30"/>
        </w:rPr>
        <w:t>者</w:t>
      </w:r>
      <w:r>
        <w:rPr>
          <w:rFonts w:ascii="仿宋_GB2312" w:eastAsia="仿宋_GB2312" w:hAnsiTheme="minorEastAsia" w:cs="Times New Roman" w:hint="eastAsia"/>
          <w:bCs/>
          <w:color w:val="000000" w:themeColor="text1"/>
          <w:kern w:val="0"/>
          <w:sz w:val="30"/>
          <w:szCs w:val="30"/>
        </w:rPr>
        <w:t>亏损预警线），明确止损处理业务流程并严格执行。</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第四十九条 </w:t>
      </w:r>
      <w:r>
        <w:rPr>
          <w:rFonts w:ascii="仿宋_GB2312" w:eastAsia="仿宋_GB2312" w:hAnsiTheme="minorEastAsia" w:cs="Times New Roman" w:hint="eastAsia"/>
          <w:bCs/>
          <w:color w:val="000000" w:themeColor="text1"/>
          <w:kern w:val="0"/>
          <w:sz w:val="30"/>
          <w:szCs w:val="30"/>
        </w:rPr>
        <w:t>上市公司拟在境外开展期货和衍生品交易的，应当审慎评估交易必要性和在相关国家和地区开展交易的政治、经济和法律等风险，充分考虑结算便捷性、交易流动性、汇率波动性等因素。拟开展场外衍生品交易的，应当评估交易必要性、产品结构复杂程度、流动性风险及交易对手信用风险。</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第五十条 </w:t>
      </w:r>
      <w:r>
        <w:rPr>
          <w:rFonts w:ascii="仿宋_GB2312" w:eastAsia="仿宋_GB2312" w:hAnsiTheme="minorEastAsia" w:cs="Times New Roman" w:hint="eastAsia"/>
          <w:bCs/>
          <w:color w:val="000000" w:themeColor="text1"/>
          <w:kern w:val="0"/>
          <w:sz w:val="30"/>
          <w:szCs w:val="30"/>
        </w:rPr>
        <w:t>上市公司从事期货和衍生品交易，应当编制可行性分析报告并提交董事会审议，独立董事应当发表专项意见。</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期货和衍生品交易属于下列情形之一的，应当在董事会审议通过后提交股东大会审议：</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一）预计动用的交易保证金和权利金上限（包括为交易而提供的担保物价值、预计占用的金融机构授信额度、为应急措施所预留的保证金等，下同）占公司最近一期经审计净利润的50%以上，且绝对金额超过500万元人民币；</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（二）预计任一交易日持有的最高合约价值占公司最近一期经审计净资产的50%以上，且绝对金额超过5000万元人民币；</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（三）公司从事不以套期保值为目的的期货和衍生品交易。</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第五十一条 </w:t>
      </w:r>
      <w:r>
        <w:rPr>
          <w:rFonts w:ascii="仿宋_GB2312" w:eastAsia="仿宋_GB2312" w:hAnsiTheme="minorEastAsia" w:cs="Times New Roman" w:hint="eastAsia"/>
          <w:bCs/>
          <w:color w:val="000000" w:themeColor="text1"/>
          <w:kern w:val="0"/>
          <w:sz w:val="30"/>
          <w:szCs w:val="30"/>
        </w:rPr>
        <w:t>上市公司因交易频次和时效要求等原因难以对每次期货和衍生品交易履行审议程序和披露义务的，可以对未来12个月内期货和衍生品交易的范围、额度及期限等进行合理预计并审议。相关额度的使用期限不应超过12个月，期限内任一时点的金额（含使用前述交易的收益进行交易的相关金额）不应超过已审议额度。</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第五十二条 </w:t>
      </w:r>
      <w:r>
        <w:rPr>
          <w:rFonts w:ascii="仿宋_GB2312" w:eastAsia="仿宋_GB2312" w:hAnsiTheme="minorEastAsia" w:cs="Times New Roman" w:hint="eastAsia"/>
          <w:bCs/>
          <w:color w:val="000000" w:themeColor="text1"/>
          <w:kern w:val="0"/>
          <w:sz w:val="30"/>
          <w:szCs w:val="30"/>
        </w:rPr>
        <w:t>上市公司</w:t>
      </w:r>
      <w:r>
        <w:rPr>
          <w:rFonts w:ascii="仿宋_GB2312" w:eastAsia="仿宋_GB2312" w:hAnsiTheme="minorEastAsia" w:cs="Times New Roman"/>
          <w:bCs/>
          <w:color w:val="000000" w:themeColor="text1"/>
          <w:kern w:val="0"/>
          <w:sz w:val="30"/>
          <w:szCs w:val="30"/>
        </w:rPr>
        <w:t>拟</w:t>
      </w:r>
      <w:r>
        <w:rPr>
          <w:rFonts w:ascii="仿宋_GB2312" w:eastAsia="仿宋_GB2312" w:hAnsiTheme="minorEastAsia" w:cs="Times New Roman" w:hint="eastAsia"/>
          <w:bCs/>
          <w:color w:val="000000" w:themeColor="text1"/>
          <w:kern w:val="0"/>
          <w:sz w:val="30"/>
          <w:szCs w:val="30"/>
        </w:rPr>
        <w:t>开展期货和衍生品交易</w:t>
      </w:r>
      <w:r>
        <w:rPr>
          <w:rFonts w:ascii="仿宋_GB2312" w:eastAsia="仿宋_GB2312" w:hAnsiTheme="minorEastAsia" w:cs="Times New Roman"/>
          <w:bCs/>
          <w:color w:val="000000" w:themeColor="text1"/>
          <w:kern w:val="0"/>
          <w:sz w:val="30"/>
          <w:szCs w:val="30"/>
        </w:rPr>
        <w:t>的</w:t>
      </w:r>
      <w:r>
        <w:rPr>
          <w:rFonts w:ascii="仿宋_GB2312" w:eastAsia="仿宋_GB2312" w:hAnsiTheme="minorEastAsia" w:cs="Times New Roman" w:hint="eastAsia"/>
          <w:bCs/>
          <w:color w:val="000000" w:themeColor="text1"/>
          <w:kern w:val="0"/>
          <w:sz w:val="30"/>
          <w:szCs w:val="30"/>
        </w:rPr>
        <w:t>，应当披露交易目的、交易品种、交易工具、交易场所、预计动用的交易保证金和权利金上限、预计任一交易日持有的最高合约价值、专业人员配备情况等，并进行充分的风险提示。</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公司以套期保值为目的开展期货和衍生品交易的，应当明确说明拟使用的期货和衍生品合约的类别及其预期管理的风险敞口，明确两者是否存在相互风险对冲的经济关系，以及如何运用选定的期货和衍生品合约对相关风险敞口进行套期保值。公司应当对套期保值预计可实现的效果进行说明，包括持续评估是否达到套期保值效果的计划举措。</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公司从事投机为目的的期货和衍生品交易的，应当在公告标题和重要内容提示中真实、准确地披露交易目的，不得使用套期保值、风险管理等类似用语，不得以套期保值为名变相进行以投机为目的的期货和衍生品交易。</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第五十三条</w:t>
      </w:r>
      <w:r>
        <w:rPr>
          <w:rFonts w:ascii="仿宋_GB2312" w:eastAsia="仿宋_GB2312" w:hAnsiTheme="minorEastAsia" w:cs="Times New Roman" w:hint="eastAsia"/>
          <w:bCs/>
          <w:color w:val="000000" w:themeColor="text1"/>
          <w:kern w:val="0"/>
          <w:sz w:val="30"/>
          <w:szCs w:val="30"/>
        </w:rPr>
        <w:t xml:space="preserve"> 上市公司相关部门应当跟踪期货和衍生品公开市场价格或者公允价值的变化，及时评估已交易期货和衍生品的风险敞口变化情况，并向管理层和董事会报告期货和衍生品交易授权执行情况、交易头寸情况、风险评估结果、盈亏状况、止损规定执行情况等。</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公司开展以套期保值为目的的期货和衍生品交易，应及时跟踪期货和衍生品与已识别风险敞口对冲后的净敞口价值变动，并对套期保值效果进行持续评估。</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第五十四条 </w:t>
      </w:r>
      <w:r>
        <w:rPr>
          <w:rFonts w:ascii="仿宋_GB2312" w:eastAsia="仿宋_GB2312" w:hAnsiTheme="minorEastAsia" w:cs="Times New Roman" w:hint="eastAsia"/>
          <w:bCs/>
          <w:color w:val="000000" w:themeColor="text1"/>
          <w:kern w:val="0"/>
          <w:sz w:val="30"/>
          <w:szCs w:val="30"/>
        </w:rPr>
        <w:t>上市公司期货和衍生品交易已确认损益及浮动亏损金额每达到公司最近一年经审计的归属于上市公司股东净利润的10%且绝对金额超过1000万元人民币的，应当及时披露。公司开展套期保值业务的，可以将套期工具与被套期项目价值变动加总后适用前述规定。</w:t>
      </w:r>
    </w:p>
    <w:p w:rsidR="00CB0C3E" w:rsidRDefault="00303848">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Cs/>
          <w:color w:val="000000" w:themeColor="text1"/>
          <w:kern w:val="0"/>
          <w:sz w:val="30"/>
          <w:szCs w:val="30"/>
        </w:rPr>
        <w:t>公司开展套期保值业务出现前款规定的亏损情形时，还应当重新评估套期关系的有效性，披露套期工具和被套期项目的公允价值或</w:t>
      </w:r>
      <w:r>
        <w:rPr>
          <w:rFonts w:ascii="仿宋_GB2312" w:eastAsia="仿宋_GB2312" w:hAnsiTheme="minorEastAsia" w:cs="Times New Roman"/>
          <w:bCs/>
          <w:color w:val="000000" w:themeColor="text1"/>
          <w:kern w:val="0"/>
          <w:sz w:val="30"/>
          <w:szCs w:val="30"/>
        </w:rPr>
        <w:t>者</w:t>
      </w:r>
      <w:r>
        <w:rPr>
          <w:rFonts w:ascii="仿宋_GB2312" w:eastAsia="仿宋_GB2312" w:hAnsiTheme="minorEastAsia" w:cs="Times New Roman" w:hint="eastAsia"/>
          <w:bCs/>
          <w:color w:val="000000" w:themeColor="text1"/>
          <w:kern w:val="0"/>
          <w:sz w:val="30"/>
          <w:szCs w:val="30"/>
        </w:rPr>
        <w:t>现金流量变动未按预期抵销的原因，并分别披露套期工具和被套期项目价值变动情况等。</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第五十五条 </w:t>
      </w:r>
      <w:r>
        <w:rPr>
          <w:rFonts w:ascii="仿宋_GB2312" w:eastAsia="仿宋_GB2312" w:hAnsiTheme="minorEastAsia" w:cs="Times New Roman" w:hint="eastAsia"/>
          <w:bCs/>
          <w:color w:val="000000" w:themeColor="text1"/>
          <w:kern w:val="0"/>
          <w:sz w:val="30"/>
          <w:szCs w:val="30"/>
        </w:rPr>
        <w:t>上市公司开展以套期保值为目的的期货和衍生品交易，在披露定期报告时，可以同时结合被套期项目情况对套期保值效果进行全面披露。套期保值业务不满足会计准则规定的套期会计适用条件或</w:t>
      </w:r>
      <w:r>
        <w:rPr>
          <w:rFonts w:ascii="仿宋_GB2312" w:eastAsia="仿宋_GB2312" w:hAnsiTheme="minorEastAsia" w:cs="Times New Roman"/>
          <w:bCs/>
          <w:color w:val="000000" w:themeColor="text1"/>
          <w:kern w:val="0"/>
          <w:sz w:val="30"/>
          <w:szCs w:val="30"/>
        </w:rPr>
        <w:t>者</w:t>
      </w:r>
      <w:bookmarkStart w:id="1" w:name="_GoBack"/>
      <w:bookmarkEnd w:id="1"/>
      <w:r>
        <w:rPr>
          <w:rFonts w:ascii="仿宋_GB2312" w:eastAsia="仿宋_GB2312" w:hAnsiTheme="minorEastAsia" w:cs="Times New Roman" w:hint="eastAsia"/>
          <w:bCs/>
          <w:color w:val="000000" w:themeColor="text1"/>
          <w:kern w:val="0"/>
          <w:sz w:val="30"/>
          <w:szCs w:val="30"/>
        </w:rPr>
        <w:t>未适用套期会计核算，但能够通过期货和衍生品交易实现风险管理目标的，可以结合套期工具和被套期项目之间的关系等说明是否有效实现了预期风险管理目标。</w:t>
      </w:r>
    </w:p>
    <w:p w:rsidR="00CB0C3E" w:rsidRDefault="00CB0C3E">
      <w:pPr>
        <w:adjustRightInd w:val="0"/>
        <w:snapToGrid w:val="0"/>
        <w:spacing w:line="560" w:lineRule="exact"/>
        <w:ind w:firstLineChars="200" w:firstLine="600"/>
        <w:rPr>
          <w:rFonts w:ascii="仿宋_GB2312" w:eastAsia="仿宋_GB2312" w:hAnsiTheme="minorEastAsia" w:cs="Times New Roman"/>
          <w:bCs/>
          <w:color w:val="000000" w:themeColor="text1"/>
          <w:kern w:val="0"/>
          <w:sz w:val="30"/>
          <w:szCs w:val="30"/>
        </w:rPr>
      </w:pPr>
    </w:p>
    <w:p w:rsidR="00CB0C3E" w:rsidRDefault="00303848">
      <w:pPr>
        <w:spacing w:line="560" w:lineRule="exact"/>
        <w:jc w:val="center"/>
        <w:rPr>
          <w:rFonts w:ascii="黑体" w:eastAsia="黑体" w:hAnsi="仿宋" w:cs="Arial"/>
          <w:b/>
          <w:color w:val="000000"/>
          <w:sz w:val="30"/>
          <w:szCs w:val="30"/>
        </w:rPr>
      </w:pPr>
      <w:r>
        <w:rPr>
          <w:rFonts w:ascii="黑体" w:eastAsia="黑体" w:hAnsi="仿宋" w:cs="Arial" w:hint="eastAsia"/>
          <w:b/>
          <w:color w:val="000000"/>
          <w:sz w:val="30"/>
          <w:szCs w:val="30"/>
        </w:rPr>
        <w:t>第四章 附</w:t>
      </w:r>
      <w:r w:rsidR="00A94F6F">
        <w:rPr>
          <w:rFonts w:ascii="黑体" w:eastAsia="黑体" w:hAnsi="仿宋" w:cs="Arial" w:hint="eastAsia"/>
          <w:b/>
          <w:color w:val="000000"/>
          <w:sz w:val="30"/>
          <w:szCs w:val="30"/>
        </w:rPr>
        <w:t xml:space="preserve">  </w:t>
      </w:r>
      <w:r>
        <w:rPr>
          <w:rFonts w:ascii="黑体" w:eastAsia="黑体" w:hAnsi="仿宋" w:cs="Arial" w:hint="eastAsia"/>
          <w:b/>
          <w:color w:val="000000"/>
          <w:sz w:val="30"/>
          <w:szCs w:val="30"/>
        </w:rPr>
        <w:t>则</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第五十六条 </w:t>
      </w:r>
      <w:r>
        <w:rPr>
          <w:rFonts w:ascii="仿宋_GB2312" w:eastAsia="仿宋_GB2312" w:hAnsiTheme="minorEastAsia" w:cs="Times New Roman" w:hint="eastAsia"/>
          <w:bCs/>
          <w:color w:val="000000" w:themeColor="text1"/>
          <w:kern w:val="0"/>
          <w:sz w:val="30"/>
          <w:szCs w:val="30"/>
        </w:rPr>
        <w:t>上市公司及有关各方违反本指引规定的，本所可以采取开展现场检查、提请中国证监会及其派出机构核查等措施，并视情况对上市公司及相关当事人采取监管措施或者予以纪律处分。</w:t>
      </w:r>
    </w:p>
    <w:p w:rsidR="00CB0C3E" w:rsidRDefault="00303848" w:rsidP="00FB6EE9">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第五十七条 </w:t>
      </w:r>
      <w:r>
        <w:rPr>
          <w:rFonts w:ascii="仿宋_GB2312" w:eastAsia="仿宋_GB2312" w:hAnsiTheme="minorEastAsia" w:cs="Times New Roman" w:hint="eastAsia"/>
          <w:bCs/>
          <w:color w:val="000000" w:themeColor="text1"/>
          <w:kern w:val="0"/>
          <w:sz w:val="30"/>
          <w:szCs w:val="30"/>
        </w:rPr>
        <w:t>本指引由本所负责解释。</w:t>
      </w:r>
    </w:p>
    <w:p w:rsidR="00CB0C3E" w:rsidRDefault="00303848" w:rsidP="00CB0C3E">
      <w:pPr>
        <w:adjustRightInd w:val="0"/>
        <w:snapToGrid w:val="0"/>
        <w:spacing w:line="560" w:lineRule="exact"/>
        <w:ind w:firstLineChars="200" w:firstLine="602"/>
        <w:rPr>
          <w:rFonts w:ascii="仿宋_GB2312" w:eastAsia="仿宋_GB2312" w:hAnsiTheme="minorEastAsia" w:cs="Times New Roman"/>
          <w:bCs/>
          <w:color w:val="000000" w:themeColor="text1"/>
          <w:kern w:val="0"/>
          <w:sz w:val="30"/>
          <w:szCs w:val="30"/>
        </w:rPr>
      </w:pPr>
      <w:r>
        <w:rPr>
          <w:rFonts w:ascii="仿宋_GB2312" w:eastAsia="仿宋_GB2312" w:hAnsiTheme="minorEastAsia" w:cs="Times New Roman" w:hint="eastAsia"/>
          <w:b/>
          <w:bCs/>
          <w:color w:val="000000" w:themeColor="text1"/>
          <w:kern w:val="0"/>
          <w:sz w:val="30"/>
          <w:szCs w:val="30"/>
        </w:rPr>
        <w:t xml:space="preserve">第五十八条 </w:t>
      </w:r>
      <w:r>
        <w:rPr>
          <w:rFonts w:ascii="仿宋_GB2312" w:eastAsia="仿宋_GB2312" w:hAnsiTheme="minorEastAsia" w:cs="Times New Roman" w:hint="eastAsia"/>
          <w:bCs/>
          <w:color w:val="000000" w:themeColor="text1"/>
          <w:kern w:val="0"/>
          <w:sz w:val="30"/>
          <w:szCs w:val="30"/>
        </w:rPr>
        <w:t>本指引自发布之日起施行。</w:t>
      </w:r>
    </w:p>
    <w:sectPr w:rsidR="00CB0C3E" w:rsidSect="00CB0C3E">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7E4D" w:rsidRDefault="00B37E4D" w:rsidP="00CB0C3E">
      <w:r>
        <w:separator/>
      </w:r>
    </w:p>
  </w:endnote>
  <w:endnote w:type="continuationSeparator" w:id="1">
    <w:p w:rsidR="00B37E4D" w:rsidRDefault="00B37E4D" w:rsidP="00CB0C3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大标宋简体">
    <w:altName w:val="微软雅黑"/>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5582579"/>
    </w:sdtPr>
    <w:sdtContent>
      <w:p w:rsidR="00CB0C3E" w:rsidRDefault="00395FFC">
        <w:pPr>
          <w:pStyle w:val="a5"/>
          <w:jc w:val="center"/>
        </w:pPr>
        <w:r w:rsidRPr="00395FFC">
          <w:rPr>
            <w:rFonts w:ascii="Times New Roman" w:hAnsi="Times New Roman" w:cs="Times New Roman"/>
          </w:rPr>
          <w:fldChar w:fldCharType="begin"/>
        </w:r>
        <w:r w:rsidR="00303848">
          <w:rPr>
            <w:rFonts w:ascii="Times New Roman" w:hAnsi="Times New Roman" w:cs="Times New Roman"/>
          </w:rPr>
          <w:instrText xml:space="preserve"> PAGE   \* MERGEFORMAT </w:instrText>
        </w:r>
        <w:r w:rsidRPr="00395FFC">
          <w:rPr>
            <w:rFonts w:ascii="Times New Roman" w:hAnsi="Times New Roman" w:cs="Times New Roman"/>
          </w:rPr>
          <w:fldChar w:fldCharType="separate"/>
        </w:r>
        <w:r w:rsidR="00B37E4D" w:rsidRPr="00B37E4D">
          <w:rPr>
            <w:rFonts w:ascii="Times New Roman" w:hAnsi="Times New Roman" w:cs="Times New Roman"/>
            <w:noProof/>
            <w:lang w:val="zh-CN"/>
          </w:rPr>
          <w:t>1</w:t>
        </w:r>
        <w:r>
          <w:rPr>
            <w:rFonts w:ascii="Times New Roman" w:hAnsi="Times New Roman" w:cs="Times New Roman"/>
            <w:lang w:val="zh-CN"/>
          </w:rPr>
          <w:fldChar w:fldCharType="end"/>
        </w:r>
      </w:p>
    </w:sdtContent>
  </w:sdt>
  <w:p w:rsidR="00CB0C3E" w:rsidRDefault="00CB0C3E">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7E4D" w:rsidRDefault="00B37E4D" w:rsidP="00CB0C3E">
      <w:r>
        <w:separator/>
      </w:r>
    </w:p>
  </w:footnote>
  <w:footnote w:type="continuationSeparator" w:id="1">
    <w:p w:rsidR="00B37E4D" w:rsidRDefault="00B37E4D" w:rsidP="00CB0C3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A7B0C"/>
    <w:rsid w:val="00011AF1"/>
    <w:rsid w:val="00017C12"/>
    <w:rsid w:val="000228FE"/>
    <w:rsid w:val="00034271"/>
    <w:rsid w:val="00041E2B"/>
    <w:rsid w:val="00053B03"/>
    <w:rsid w:val="0005757B"/>
    <w:rsid w:val="0006725E"/>
    <w:rsid w:val="000907B2"/>
    <w:rsid w:val="000A02AE"/>
    <w:rsid w:val="000B1E2C"/>
    <w:rsid w:val="000B6463"/>
    <w:rsid w:val="000C068A"/>
    <w:rsid w:val="000C2A71"/>
    <w:rsid w:val="00125831"/>
    <w:rsid w:val="00151BFB"/>
    <w:rsid w:val="0015329D"/>
    <w:rsid w:val="00164303"/>
    <w:rsid w:val="00173445"/>
    <w:rsid w:val="001756A7"/>
    <w:rsid w:val="00181A38"/>
    <w:rsid w:val="00193633"/>
    <w:rsid w:val="0019494B"/>
    <w:rsid w:val="001A1385"/>
    <w:rsid w:val="001B007C"/>
    <w:rsid w:val="001B3711"/>
    <w:rsid w:val="001C3E34"/>
    <w:rsid w:val="001D2D4A"/>
    <w:rsid w:val="001E2380"/>
    <w:rsid w:val="001F429F"/>
    <w:rsid w:val="00211E4D"/>
    <w:rsid w:val="00212A69"/>
    <w:rsid w:val="00222CA2"/>
    <w:rsid w:val="00230149"/>
    <w:rsid w:val="0023047B"/>
    <w:rsid w:val="0023063B"/>
    <w:rsid w:val="0023359F"/>
    <w:rsid w:val="002400DB"/>
    <w:rsid w:val="00244025"/>
    <w:rsid w:val="00254B59"/>
    <w:rsid w:val="002601C1"/>
    <w:rsid w:val="0026195A"/>
    <w:rsid w:val="00264EB6"/>
    <w:rsid w:val="0026630F"/>
    <w:rsid w:val="002666BA"/>
    <w:rsid w:val="002673AC"/>
    <w:rsid w:val="0027383C"/>
    <w:rsid w:val="002759FB"/>
    <w:rsid w:val="00284DFC"/>
    <w:rsid w:val="002A36C8"/>
    <w:rsid w:val="002D4622"/>
    <w:rsid w:val="002D49CC"/>
    <w:rsid w:val="002D757A"/>
    <w:rsid w:val="002F350C"/>
    <w:rsid w:val="0030290B"/>
    <w:rsid w:val="00303848"/>
    <w:rsid w:val="00321573"/>
    <w:rsid w:val="0032650D"/>
    <w:rsid w:val="0032673D"/>
    <w:rsid w:val="003672A3"/>
    <w:rsid w:val="00373D46"/>
    <w:rsid w:val="00390668"/>
    <w:rsid w:val="00395FFC"/>
    <w:rsid w:val="003A0BB5"/>
    <w:rsid w:val="003B17E3"/>
    <w:rsid w:val="003B3064"/>
    <w:rsid w:val="003C585C"/>
    <w:rsid w:val="003E45B1"/>
    <w:rsid w:val="00402EC9"/>
    <w:rsid w:val="00413166"/>
    <w:rsid w:val="00470483"/>
    <w:rsid w:val="00474B6A"/>
    <w:rsid w:val="004823B8"/>
    <w:rsid w:val="00492764"/>
    <w:rsid w:val="004A3D31"/>
    <w:rsid w:val="004A6469"/>
    <w:rsid w:val="004B5BF2"/>
    <w:rsid w:val="004B6CB6"/>
    <w:rsid w:val="004C0698"/>
    <w:rsid w:val="004C5752"/>
    <w:rsid w:val="004C79E1"/>
    <w:rsid w:val="004D2E3F"/>
    <w:rsid w:val="004D725D"/>
    <w:rsid w:val="004F3C09"/>
    <w:rsid w:val="0050161F"/>
    <w:rsid w:val="00502725"/>
    <w:rsid w:val="00514022"/>
    <w:rsid w:val="00522D0F"/>
    <w:rsid w:val="005249C0"/>
    <w:rsid w:val="00531DE6"/>
    <w:rsid w:val="005417A9"/>
    <w:rsid w:val="00542878"/>
    <w:rsid w:val="005428A2"/>
    <w:rsid w:val="005430F9"/>
    <w:rsid w:val="005665BB"/>
    <w:rsid w:val="005756E3"/>
    <w:rsid w:val="00582422"/>
    <w:rsid w:val="00592826"/>
    <w:rsid w:val="005B1214"/>
    <w:rsid w:val="005B57A6"/>
    <w:rsid w:val="005D0EB6"/>
    <w:rsid w:val="005F6173"/>
    <w:rsid w:val="00601D4E"/>
    <w:rsid w:val="0060285B"/>
    <w:rsid w:val="006174B5"/>
    <w:rsid w:val="0066215A"/>
    <w:rsid w:val="00665E77"/>
    <w:rsid w:val="006764CE"/>
    <w:rsid w:val="00684EE7"/>
    <w:rsid w:val="006927D1"/>
    <w:rsid w:val="006C0C50"/>
    <w:rsid w:val="006C4BEA"/>
    <w:rsid w:val="006C7483"/>
    <w:rsid w:val="006D234F"/>
    <w:rsid w:val="006E3114"/>
    <w:rsid w:val="006E789B"/>
    <w:rsid w:val="00710D86"/>
    <w:rsid w:val="00717C27"/>
    <w:rsid w:val="00721AA8"/>
    <w:rsid w:val="00730065"/>
    <w:rsid w:val="00736280"/>
    <w:rsid w:val="007424E9"/>
    <w:rsid w:val="00745926"/>
    <w:rsid w:val="00795DC0"/>
    <w:rsid w:val="0079659E"/>
    <w:rsid w:val="00796785"/>
    <w:rsid w:val="007A3BA3"/>
    <w:rsid w:val="007B70CE"/>
    <w:rsid w:val="007C7A18"/>
    <w:rsid w:val="007D16BE"/>
    <w:rsid w:val="007D694E"/>
    <w:rsid w:val="007E54AD"/>
    <w:rsid w:val="007F4958"/>
    <w:rsid w:val="007F4A48"/>
    <w:rsid w:val="00807165"/>
    <w:rsid w:val="00807C45"/>
    <w:rsid w:val="00813635"/>
    <w:rsid w:val="008243CD"/>
    <w:rsid w:val="00831C2E"/>
    <w:rsid w:val="00833E00"/>
    <w:rsid w:val="00837F8D"/>
    <w:rsid w:val="008400AF"/>
    <w:rsid w:val="00851484"/>
    <w:rsid w:val="008523D3"/>
    <w:rsid w:val="00867F74"/>
    <w:rsid w:val="008728BF"/>
    <w:rsid w:val="00872915"/>
    <w:rsid w:val="00881BA2"/>
    <w:rsid w:val="0088531D"/>
    <w:rsid w:val="008A0DFA"/>
    <w:rsid w:val="008D3886"/>
    <w:rsid w:val="008D6DB4"/>
    <w:rsid w:val="008F784A"/>
    <w:rsid w:val="00903341"/>
    <w:rsid w:val="00916394"/>
    <w:rsid w:val="009215A6"/>
    <w:rsid w:val="00925BB6"/>
    <w:rsid w:val="00927BBF"/>
    <w:rsid w:val="00930F98"/>
    <w:rsid w:val="00946503"/>
    <w:rsid w:val="00955470"/>
    <w:rsid w:val="009576AC"/>
    <w:rsid w:val="00961D26"/>
    <w:rsid w:val="009730F4"/>
    <w:rsid w:val="00975AFE"/>
    <w:rsid w:val="0097615A"/>
    <w:rsid w:val="00976779"/>
    <w:rsid w:val="00981307"/>
    <w:rsid w:val="009917E7"/>
    <w:rsid w:val="00992424"/>
    <w:rsid w:val="00996796"/>
    <w:rsid w:val="009A4EF2"/>
    <w:rsid w:val="009A58F1"/>
    <w:rsid w:val="009B28BF"/>
    <w:rsid w:val="009D02E2"/>
    <w:rsid w:val="009D3B8B"/>
    <w:rsid w:val="009D44F7"/>
    <w:rsid w:val="009E22BE"/>
    <w:rsid w:val="009E2F41"/>
    <w:rsid w:val="009F4000"/>
    <w:rsid w:val="00A05CBD"/>
    <w:rsid w:val="00A16F3F"/>
    <w:rsid w:val="00A24996"/>
    <w:rsid w:val="00A46AC5"/>
    <w:rsid w:val="00A50B05"/>
    <w:rsid w:val="00A50DC7"/>
    <w:rsid w:val="00A578A0"/>
    <w:rsid w:val="00A65D74"/>
    <w:rsid w:val="00A81061"/>
    <w:rsid w:val="00A8406D"/>
    <w:rsid w:val="00A8425B"/>
    <w:rsid w:val="00A94F6F"/>
    <w:rsid w:val="00A95D7B"/>
    <w:rsid w:val="00A96ADC"/>
    <w:rsid w:val="00AB166B"/>
    <w:rsid w:val="00AB6402"/>
    <w:rsid w:val="00AC1E34"/>
    <w:rsid w:val="00AC49AF"/>
    <w:rsid w:val="00AC5BC7"/>
    <w:rsid w:val="00AC7335"/>
    <w:rsid w:val="00AD59D8"/>
    <w:rsid w:val="00AE111C"/>
    <w:rsid w:val="00AF6C6F"/>
    <w:rsid w:val="00AF7AE0"/>
    <w:rsid w:val="00B06A59"/>
    <w:rsid w:val="00B134D0"/>
    <w:rsid w:val="00B2155A"/>
    <w:rsid w:val="00B2165A"/>
    <w:rsid w:val="00B24D55"/>
    <w:rsid w:val="00B25418"/>
    <w:rsid w:val="00B37E4D"/>
    <w:rsid w:val="00B42761"/>
    <w:rsid w:val="00B5613E"/>
    <w:rsid w:val="00B63BFD"/>
    <w:rsid w:val="00BC76D4"/>
    <w:rsid w:val="00BC7A12"/>
    <w:rsid w:val="00BD1CDD"/>
    <w:rsid w:val="00BE33CE"/>
    <w:rsid w:val="00BE3591"/>
    <w:rsid w:val="00BF3CA4"/>
    <w:rsid w:val="00BF6984"/>
    <w:rsid w:val="00C0035D"/>
    <w:rsid w:val="00C00E09"/>
    <w:rsid w:val="00C251A2"/>
    <w:rsid w:val="00C26F7A"/>
    <w:rsid w:val="00C3671D"/>
    <w:rsid w:val="00C37D23"/>
    <w:rsid w:val="00C437FA"/>
    <w:rsid w:val="00C45A27"/>
    <w:rsid w:val="00C671B4"/>
    <w:rsid w:val="00C70143"/>
    <w:rsid w:val="00C77C11"/>
    <w:rsid w:val="00C81E9D"/>
    <w:rsid w:val="00C84933"/>
    <w:rsid w:val="00C86D78"/>
    <w:rsid w:val="00C87571"/>
    <w:rsid w:val="00C90123"/>
    <w:rsid w:val="00C92DFE"/>
    <w:rsid w:val="00C9578C"/>
    <w:rsid w:val="00C97CDB"/>
    <w:rsid w:val="00CA0322"/>
    <w:rsid w:val="00CA60C7"/>
    <w:rsid w:val="00CA701F"/>
    <w:rsid w:val="00CB0C3E"/>
    <w:rsid w:val="00CB2B82"/>
    <w:rsid w:val="00CC08CA"/>
    <w:rsid w:val="00CD1467"/>
    <w:rsid w:val="00CD55D0"/>
    <w:rsid w:val="00CD5F26"/>
    <w:rsid w:val="00CF4FAC"/>
    <w:rsid w:val="00D132FC"/>
    <w:rsid w:val="00D2601F"/>
    <w:rsid w:val="00D70567"/>
    <w:rsid w:val="00D81371"/>
    <w:rsid w:val="00D91C5E"/>
    <w:rsid w:val="00DF5812"/>
    <w:rsid w:val="00E00D2F"/>
    <w:rsid w:val="00E06C4D"/>
    <w:rsid w:val="00E0735B"/>
    <w:rsid w:val="00E10909"/>
    <w:rsid w:val="00E15C8C"/>
    <w:rsid w:val="00E16308"/>
    <w:rsid w:val="00E309BF"/>
    <w:rsid w:val="00E31945"/>
    <w:rsid w:val="00E3221E"/>
    <w:rsid w:val="00E5401E"/>
    <w:rsid w:val="00E564E5"/>
    <w:rsid w:val="00E82F2A"/>
    <w:rsid w:val="00E83F35"/>
    <w:rsid w:val="00E91253"/>
    <w:rsid w:val="00E92ECD"/>
    <w:rsid w:val="00EB033E"/>
    <w:rsid w:val="00EB3352"/>
    <w:rsid w:val="00EC177C"/>
    <w:rsid w:val="00ED3ACE"/>
    <w:rsid w:val="00ED4DAD"/>
    <w:rsid w:val="00EE3DC6"/>
    <w:rsid w:val="00EE4814"/>
    <w:rsid w:val="00EF2AE7"/>
    <w:rsid w:val="00EF5526"/>
    <w:rsid w:val="00F03737"/>
    <w:rsid w:val="00F11208"/>
    <w:rsid w:val="00F24850"/>
    <w:rsid w:val="00F36F43"/>
    <w:rsid w:val="00F538AF"/>
    <w:rsid w:val="00F57182"/>
    <w:rsid w:val="00F66272"/>
    <w:rsid w:val="00F71D1C"/>
    <w:rsid w:val="00F7496B"/>
    <w:rsid w:val="00FA30A9"/>
    <w:rsid w:val="00FA7B0C"/>
    <w:rsid w:val="00FB2606"/>
    <w:rsid w:val="00FB6EE9"/>
    <w:rsid w:val="00FE0ACD"/>
    <w:rsid w:val="00FE34E2"/>
    <w:rsid w:val="00FF7100"/>
    <w:rsid w:val="0DBC07BF"/>
    <w:rsid w:val="5D7FAD8E"/>
    <w:rsid w:val="7DFED83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annotation subject" w:qFormat="1"/>
    <w:lsdException w:name="Balloon Text" w:qFormat="1"/>
    <w:lsdException w:name="Table Grid" w:semiHidden="0"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0C3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CB0C3E"/>
    <w:pPr>
      <w:jc w:val="left"/>
    </w:pPr>
  </w:style>
  <w:style w:type="paragraph" w:styleId="a4">
    <w:name w:val="Balloon Text"/>
    <w:basedOn w:val="a"/>
    <w:link w:val="Char0"/>
    <w:uiPriority w:val="99"/>
    <w:semiHidden/>
    <w:unhideWhenUsed/>
    <w:qFormat/>
    <w:rsid w:val="00CB0C3E"/>
    <w:rPr>
      <w:sz w:val="18"/>
      <w:szCs w:val="18"/>
    </w:rPr>
  </w:style>
  <w:style w:type="paragraph" w:styleId="a5">
    <w:name w:val="footer"/>
    <w:basedOn w:val="a"/>
    <w:link w:val="Char1"/>
    <w:uiPriority w:val="99"/>
    <w:unhideWhenUsed/>
    <w:qFormat/>
    <w:rsid w:val="00CB0C3E"/>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CB0C3E"/>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CB0C3E"/>
    <w:pPr>
      <w:widowControl/>
      <w:spacing w:before="100" w:beforeAutospacing="1" w:after="100" w:afterAutospacing="1"/>
      <w:jc w:val="left"/>
    </w:pPr>
    <w:rPr>
      <w:rFonts w:ascii="宋体" w:eastAsia="宋体" w:hAnsi="宋体" w:cs="宋体"/>
      <w:kern w:val="0"/>
      <w:sz w:val="24"/>
      <w:szCs w:val="24"/>
    </w:rPr>
  </w:style>
  <w:style w:type="paragraph" w:styleId="a8">
    <w:name w:val="annotation subject"/>
    <w:basedOn w:val="a3"/>
    <w:next w:val="a3"/>
    <w:link w:val="Char3"/>
    <w:uiPriority w:val="99"/>
    <w:semiHidden/>
    <w:unhideWhenUsed/>
    <w:qFormat/>
    <w:rsid w:val="00CB0C3E"/>
    <w:rPr>
      <w:b/>
      <w:bCs/>
    </w:rPr>
  </w:style>
  <w:style w:type="table" w:styleId="a9">
    <w:name w:val="Table Grid"/>
    <w:basedOn w:val="a1"/>
    <w:uiPriority w:val="59"/>
    <w:unhideWhenUsed/>
    <w:rsid w:val="00CB0C3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annotation reference"/>
    <w:basedOn w:val="a0"/>
    <w:uiPriority w:val="99"/>
    <w:semiHidden/>
    <w:unhideWhenUsed/>
    <w:qFormat/>
    <w:rsid w:val="00CB0C3E"/>
    <w:rPr>
      <w:sz w:val="21"/>
      <w:szCs w:val="21"/>
    </w:rPr>
  </w:style>
  <w:style w:type="paragraph" w:styleId="ab">
    <w:name w:val="List Paragraph"/>
    <w:basedOn w:val="a"/>
    <w:uiPriority w:val="34"/>
    <w:qFormat/>
    <w:rsid w:val="00CB0C3E"/>
    <w:pPr>
      <w:ind w:firstLineChars="200" w:firstLine="420"/>
    </w:pPr>
  </w:style>
  <w:style w:type="character" w:customStyle="1" w:styleId="Char">
    <w:name w:val="批注文字 Char"/>
    <w:basedOn w:val="a0"/>
    <w:link w:val="a3"/>
    <w:uiPriority w:val="99"/>
    <w:qFormat/>
    <w:rsid w:val="00CB0C3E"/>
  </w:style>
  <w:style w:type="character" w:customStyle="1" w:styleId="Char2">
    <w:name w:val="页眉 Char"/>
    <w:basedOn w:val="a0"/>
    <w:link w:val="a6"/>
    <w:uiPriority w:val="99"/>
    <w:qFormat/>
    <w:rsid w:val="00CB0C3E"/>
    <w:rPr>
      <w:sz w:val="18"/>
      <w:szCs w:val="18"/>
    </w:rPr>
  </w:style>
  <w:style w:type="character" w:customStyle="1" w:styleId="Char1">
    <w:name w:val="页脚 Char"/>
    <w:basedOn w:val="a0"/>
    <w:link w:val="a5"/>
    <w:uiPriority w:val="99"/>
    <w:qFormat/>
    <w:rsid w:val="00CB0C3E"/>
    <w:rPr>
      <w:sz w:val="18"/>
      <w:szCs w:val="18"/>
    </w:rPr>
  </w:style>
  <w:style w:type="character" w:customStyle="1" w:styleId="Char0">
    <w:name w:val="批注框文本 Char"/>
    <w:basedOn w:val="a0"/>
    <w:link w:val="a4"/>
    <w:uiPriority w:val="99"/>
    <w:semiHidden/>
    <w:qFormat/>
    <w:rsid w:val="00CB0C3E"/>
    <w:rPr>
      <w:sz w:val="18"/>
      <w:szCs w:val="18"/>
    </w:rPr>
  </w:style>
  <w:style w:type="paragraph" w:customStyle="1" w:styleId="Default">
    <w:name w:val="Default"/>
    <w:qFormat/>
    <w:rsid w:val="00CB0C3E"/>
    <w:pPr>
      <w:widowControl w:val="0"/>
      <w:autoSpaceDE w:val="0"/>
      <w:autoSpaceDN w:val="0"/>
      <w:adjustRightInd w:val="0"/>
    </w:pPr>
    <w:rPr>
      <w:rFonts w:ascii="仿宋_GB2312" w:eastAsia="仿宋_GB2312" w:hAnsi="Calibri" w:cs="仿宋_GB2312"/>
      <w:color w:val="000000"/>
      <w:sz w:val="24"/>
      <w:szCs w:val="24"/>
    </w:rPr>
  </w:style>
  <w:style w:type="paragraph" w:customStyle="1" w:styleId="1">
    <w:name w:val="修订1"/>
    <w:hidden/>
    <w:uiPriority w:val="99"/>
    <w:semiHidden/>
    <w:rsid w:val="00CB0C3E"/>
    <w:rPr>
      <w:kern w:val="2"/>
      <w:sz w:val="21"/>
      <w:szCs w:val="22"/>
    </w:rPr>
  </w:style>
  <w:style w:type="character" w:customStyle="1" w:styleId="Char3">
    <w:name w:val="批注主题 Char"/>
    <w:basedOn w:val="Char"/>
    <w:link w:val="a8"/>
    <w:uiPriority w:val="99"/>
    <w:semiHidden/>
    <w:rsid w:val="00CB0C3E"/>
    <w:rPr>
      <w:b/>
      <w:bC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19</Pages>
  <Words>1538</Words>
  <Characters>8769</Characters>
  <Application>Microsoft Office Word</Application>
  <DocSecurity>0</DocSecurity>
  <Lines>73</Lines>
  <Paragraphs>20</Paragraphs>
  <ScaleCrop>false</ScaleCrop>
  <Company/>
  <LinksUpToDate>false</LinksUpToDate>
  <CharactersWithSpaces>10287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lqhou</dc:creator>
  <cp:lastModifiedBy>费琼(拟稿)</cp:lastModifiedBy>
  <cp:revision>3</cp:revision>
  <dcterms:created xsi:type="dcterms:W3CDTF">2022-12-07T23:25:00Z</dcterms:created>
  <dcterms:modified xsi:type="dcterms:W3CDTF">2022-12-29T06:04:00Z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DD2C7856C54C471796D261F7DAFB15DB</vt:lpwstr>
  </property>
</Properties>
</file>