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0707" w:rsidRPr="00292CF8" w:rsidRDefault="00292CF8" w:rsidP="00292CF8">
      <w:pPr>
        <w:spacing w:line="540" w:lineRule="exact"/>
        <w:rPr>
          <w:rFonts w:ascii="仿宋_GB2312" w:eastAsia="仿宋_GB2312" w:hAnsi="仿宋" w:hint="eastAsia"/>
          <w:b/>
          <w:sz w:val="30"/>
          <w:szCs w:val="30"/>
        </w:rPr>
      </w:pPr>
      <w:r w:rsidRPr="00292CF8">
        <w:rPr>
          <w:rFonts w:ascii="仿宋_GB2312" w:eastAsia="仿宋_GB2312" w:hAnsi="仿宋" w:hint="eastAsia"/>
          <w:b/>
          <w:sz w:val="30"/>
          <w:szCs w:val="30"/>
        </w:rPr>
        <w:t>附件2</w:t>
      </w:r>
    </w:p>
    <w:p w:rsidR="00292CF8" w:rsidRPr="00292CF8" w:rsidRDefault="00292CF8" w:rsidP="00292CF8">
      <w:pPr>
        <w:spacing w:line="540" w:lineRule="exact"/>
        <w:rPr>
          <w:rFonts w:ascii="仿宋_GB2312" w:eastAsia="仿宋_GB2312" w:hAnsi="仿宋"/>
          <w:sz w:val="30"/>
          <w:szCs w:val="30"/>
        </w:rPr>
      </w:pPr>
    </w:p>
    <w:p w:rsidR="00630707" w:rsidRPr="00292CF8" w:rsidRDefault="00254D96" w:rsidP="00292CF8">
      <w:pPr>
        <w:spacing w:line="540" w:lineRule="exact"/>
        <w:jc w:val="center"/>
        <w:rPr>
          <w:rFonts w:ascii="方正大标宋简体" w:eastAsia="方正大标宋简体" w:hAnsi="黑体" w:hint="eastAsia"/>
          <w:sz w:val="42"/>
          <w:szCs w:val="42"/>
        </w:rPr>
      </w:pPr>
      <w:r w:rsidRPr="00292CF8">
        <w:rPr>
          <w:rFonts w:ascii="方正大标宋简体" w:eastAsia="方正大标宋简体" w:hAnsi="黑体" w:cs="Times New Roman" w:hint="eastAsia"/>
          <w:sz w:val="42"/>
          <w:szCs w:val="42"/>
        </w:rPr>
        <w:t>《上海证券交易所沪港通业务实施办法</w:t>
      </w:r>
      <w:r w:rsidR="00292CF8" w:rsidRPr="00292CF8">
        <w:rPr>
          <w:rFonts w:ascii="方正大标宋简体" w:eastAsia="方正大标宋简体" w:hAnsi="黑体" w:cs="Times New Roman" w:hint="eastAsia"/>
          <w:sz w:val="42"/>
          <w:szCs w:val="42"/>
        </w:rPr>
        <w:t>（</w:t>
      </w:r>
      <w:r w:rsidRPr="00292CF8">
        <w:rPr>
          <w:rFonts w:ascii="方正大标宋简体" w:eastAsia="方正大标宋简体" w:hAnsi="黑体" w:cs="Times New Roman" w:hint="eastAsia"/>
          <w:sz w:val="42"/>
          <w:szCs w:val="42"/>
        </w:rPr>
        <w:t>2022</w:t>
      </w:r>
      <w:r w:rsidR="00292CF8" w:rsidRPr="00292CF8">
        <w:rPr>
          <w:rFonts w:ascii="方正大标宋简体" w:eastAsia="方正大标宋简体" w:hAnsi="黑体" w:cs="Times New Roman" w:hint="eastAsia"/>
          <w:sz w:val="42"/>
          <w:szCs w:val="42"/>
        </w:rPr>
        <w:t>年第一次修订）</w:t>
      </w:r>
      <w:r w:rsidRPr="00292CF8">
        <w:rPr>
          <w:rFonts w:ascii="方正大标宋简体" w:eastAsia="方正大标宋简体" w:hAnsi="黑体" w:cs="Times New Roman" w:hint="eastAsia"/>
          <w:sz w:val="42"/>
          <w:szCs w:val="42"/>
        </w:rPr>
        <w:t>（征求意见稿）</w:t>
      </w:r>
      <w:r w:rsidR="00292CF8" w:rsidRPr="00292CF8">
        <w:rPr>
          <w:rFonts w:ascii="方正大标宋简体" w:eastAsia="方正大标宋简体" w:hAnsi="黑体" w:cs="Times New Roman" w:hint="eastAsia"/>
          <w:sz w:val="42"/>
          <w:szCs w:val="42"/>
        </w:rPr>
        <w:t>》</w:t>
      </w:r>
      <w:r w:rsidRPr="00292CF8">
        <w:rPr>
          <w:rFonts w:ascii="方正大标宋简体" w:eastAsia="方正大标宋简体" w:hAnsi="黑体" w:cs="Times New Roman" w:hint="eastAsia"/>
          <w:sz w:val="42"/>
          <w:szCs w:val="42"/>
        </w:rPr>
        <w:t>起草</w:t>
      </w:r>
      <w:bookmarkStart w:id="0" w:name="_GoBack"/>
      <w:bookmarkEnd w:id="0"/>
      <w:r w:rsidRPr="00292CF8">
        <w:rPr>
          <w:rFonts w:ascii="方正大标宋简体" w:eastAsia="方正大标宋简体" w:hAnsi="黑体" w:cs="Times New Roman" w:hint="eastAsia"/>
          <w:sz w:val="42"/>
          <w:szCs w:val="42"/>
        </w:rPr>
        <w:t>说明</w:t>
      </w:r>
    </w:p>
    <w:p w:rsidR="00630707" w:rsidRPr="00292CF8" w:rsidRDefault="00630707" w:rsidP="00292CF8">
      <w:pPr>
        <w:overflowPunct w:val="0"/>
        <w:adjustRightInd w:val="0"/>
        <w:snapToGrid w:val="0"/>
        <w:spacing w:line="540" w:lineRule="exact"/>
        <w:ind w:firstLineChars="200" w:firstLine="600"/>
        <w:rPr>
          <w:rFonts w:ascii="仿宋_GB2312" w:eastAsia="仿宋_GB2312" w:hAnsi="仿宋"/>
          <w:sz w:val="30"/>
          <w:szCs w:val="30"/>
        </w:rPr>
      </w:pPr>
    </w:p>
    <w:p w:rsidR="00630707" w:rsidRPr="00292CF8" w:rsidRDefault="00292CF8" w:rsidP="00292CF8">
      <w:pPr>
        <w:overflowPunct w:val="0"/>
        <w:adjustRightInd w:val="0"/>
        <w:snapToGrid w:val="0"/>
        <w:spacing w:line="540" w:lineRule="exact"/>
        <w:ind w:firstLineChars="200" w:firstLine="600"/>
        <w:rPr>
          <w:rFonts w:ascii="仿宋_GB2312" w:eastAsia="仿宋_GB2312" w:hAnsi="仿宋" w:cs="Times New Roman"/>
          <w:sz w:val="30"/>
          <w:szCs w:val="30"/>
        </w:rPr>
      </w:pPr>
      <w:r>
        <w:rPr>
          <w:rFonts w:ascii="仿宋_GB2312" w:eastAsia="仿宋_GB2312" w:hAnsi="仿宋" w:hint="eastAsia"/>
          <w:sz w:val="30"/>
          <w:szCs w:val="30"/>
        </w:rPr>
        <w:t>为落实中国证</w:t>
      </w:r>
      <w:r w:rsidR="00254D96" w:rsidRPr="00292CF8">
        <w:rPr>
          <w:rFonts w:ascii="仿宋_GB2312" w:eastAsia="仿宋_GB2312" w:hAnsi="仿宋" w:hint="eastAsia"/>
          <w:sz w:val="30"/>
          <w:szCs w:val="30"/>
        </w:rPr>
        <w:t>监会与香港证</w:t>
      </w:r>
      <w:r>
        <w:rPr>
          <w:rFonts w:ascii="仿宋_GB2312" w:eastAsia="仿宋_GB2312" w:hAnsi="仿宋" w:hint="eastAsia"/>
          <w:sz w:val="30"/>
          <w:szCs w:val="30"/>
        </w:rPr>
        <w:t>监</w:t>
      </w:r>
      <w:r w:rsidR="00254D96" w:rsidRPr="00292CF8">
        <w:rPr>
          <w:rFonts w:ascii="仿宋_GB2312" w:eastAsia="仿宋_GB2312" w:hAnsi="仿宋" w:hint="eastAsia"/>
          <w:sz w:val="30"/>
          <w:szCs w:val="30"/>
        </w:rPr>
        <w:t>会关于交易型开放式基金（交易所买卖基金）（以下简称ETF）纳入互联互通的投资标的共识，进一步丰富交易品种，持续优化完善互联互通机制，本所</w:t>
      </w:r>
      <w:r w:rsidR="00254D96" w:rsidRPr="00292CF8">
        <w:rPr>
          <w:rFonts w:ascii="仿宋_GB2312" w:eastAsia="仿宋_GB2312" w:hAnsi="仿宋" w:cs="Times New Roman" w:hint="eastAsia"/>
          <w:sz w:val="30"/>
          <w:szCs w:val="30"/>
        </w:rPr>
        <w:t>拟对《上海证券交易所沪港通业务实施办法》（以下简称《实施办法》）进行修订。现就有关修订情况说明如下：</w:t>
      </w:r>
    </w:p>
    <w:p w:rsidR="00630707" w:rsidRPr="00292CF8" w:rsidRDefault="00254D96" w:rsidP="00292CF8">
      <w:pPr>
        <w:overflowPunct w:val="0"/>
        <w:adjustRightInd w:val="0"/>
        <w:snapToGrid w:val="0"/>
        <w:spacing w:line="540" w:lineRule="exact"/>
        <w:ind w:firstLineChars="200" w:firstLine="602"/>
        <w:rPr>
          <w:rFonts w:ascii="黑体" w:eastAsia="黑体" w:hAnsi="黑体"/>
          <w:b/>
          <w:sz w:val="30"/>
          <w:szCs w:val="30"/>
        </w:rPr>
      </w:pPr>
      <w:r w:rsidRPr="00292CF8">
        <w:rPr>
          <w:rFonts w:ascii="黑体" w:eastAsia="黑体" w:hAnsi="黑体" w:hint="eastAsia"/>
          <w:b/>
          <w:sz w:val="30"/>
          <w:szCs w:val="30"/>
        </w:rPr>
        <w:t>一、修订背景</w:t>
      </w:r>
    </w:p>
    <w:p w:rsidR="00630707" w:rsidRPr="00292CF8" w:rsidRDefault="00254D96" w:rsidP="00292CF8">
      <w:pPr>
        <w:overflowPunct w:val="0"/>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2016年8月16日，中国证监会与香港证监会发布联合公告，明确就ETF纳入互联互通的投资标的达成共识。2021年12月24日，沪深港交易所及中国结算联合发布新闻稿，声明已就ETF纳入互联互通标的整体方案达成共识。据此，本所拟就ETF纳入沪港通标的对《实施办法》的相关内容进行修订。</w:t>
      </w:r>
    </w:p>
    <w:p w:rsidR="00630707" w:rsidRPr="00292CF8" w:rsidRDefault="00254D96" w:rsidP="00292CF8">
      <w:pPr>
        <w:overflowPunct w:val="0"/>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同时，为做好沪港通业务规则与A股相关规则的配套衔接，对相关条款予以补充更新。</w:t>
      </w:r>
    </w:p>
    <w:p w:rsidR="00630707" w:rsidRPr="00292CF8" w:rsidRDefault="00254D96" w:rsidP="00292CF8">
      <w:pPr>
        <w:overflowPunct w:val="0"/>
        <w:adjustRightInd w:val="0"/>
        <w:snapToGrid w:val="0"/>
        <w:spacing w:line="540" w:lineRule="exact"/>
        <w:ind w:firstLineChars="200" w:firstLine="602"/>
        <w:rPr>
          <w:rFonts w:ascii="黑体" w:eastAsia="黑体" w:hAnsi="黑体"/>
          <w:b/>
          <w:sz w:val="30"/>
          <w:szCs w:val="30"/>
        </w:rPr>
      </w:pPr>
      <w:r w:rsidRPr="00292CF8">
        <w:rPr>
          <w:rFonts w:ascii="黑体" w:eastAsia="黑体" w:hAnsi="黑体" w:hint="eastAsia"/>
          <w:b/>
          <w:sz w:val="30"/>
          <w:szCs w:val="30"/>
        </w:rPr>
        <w:t>二</w:t>
      </w:r>
      <w:r w:rsidRPr="00292CF8">
        <w:rPr>
          <w:rFonts w:ascii="黑体" w:eastAsia="黑体" w:hAnsi="黑体"/>
          <w:b/>
          <w:sz w:val="30"/>
          <w:szCs w:val="30"/>
        </w:rPr>
        <w:t>、</w:t>
      </w:r>
      <w:r w:rsidRPr="00292CF8">
        <w:rPr>
          <w:rFonts w:ascii="黑体" w:eastAsia="黑体" w:hAnsi="黑体" w:hint="eastAsia"/>
          <w:b/>
          <w:sz w:val="30"/>
          <w:szCs w:val="30"/>
        </w:rPr>
        <w:t>修订内容</w:t>
      </w:r>
    </w:p>
    <w:p w:rsidR="00630707" w:rsidRPr="00292CF8" w:rsidRDefault="00254D96" w:rsidP="00292CF8">
      <w:pPr>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本次《实施办法》修订合计新增16条</w:t>
      </w:r>
      <w:r w:rsidR="00292CF8">
        <w:rPr>
          <w:rFonts w:ascii="仿宋_GB2312" w:eastAsia="仿宋_GB2312" w:hAnsi="仿宋" w:hint="eastAsia"/>
          <w:sz w:val="30"/>
          <w:szCs w:val="30"/>
        </w:rPr>
        <w:t>、</w:t>
      </w:r>
      <w:r w:rsidRPr="00292CF8">
        <w:rPr>
          <w:rFonts w:ascii="仿宋_GB2312" w:eastAsia="仿宋_GB2312" w:hAnsi="仿宋" w:hint="eastAsia"/>
          <w:sz w:val="30"/>
          <w:szCs w:val="30"/>
        </w:rPr>
        <w:t>修订25条，主要内容包括：</w:t>
      </w:r>
    </w:p>
    <w:p w:rsidR="00630707" w:rsidRPr="00292CF8" w:rsidRDefault="00292CF8" w:rsidP="00292CF8">
      <w:pPr>
        <w:overflowPunct w:val="0"/>
        <w:adjustRightInd w:val="0"/>
        <w:snapToGrid w:val="0"/>
        <w:spacing w:line="540" w:lineRule="exact"/>
        <w:ind w:firstLineChars="200" w:firstLine="602"/>
        <w:rPr>
          <w:rFonts w:ascii="仿宋_GB2312" w:eastAsia="仿宋_GB2312" w:hAnsi="仿宋"/>
          <w:b/>
          <w:sz w:val="30"/>
          <w:szCs w:val="30"/>
        </w:rPr>
      </w:pPr>
      <w:r>
        <w:rPr>
          <w:rFonts w:ascii="仿宋_GB2312" w:eastAsia="仿宋_GB2312" w:hAnsi="仿宋" w:hint="eastAsia"/>
          <w:b/>
          <w:sz w:val="30"/>
          <w:szCs w:val="30"/>
        </w:rPr>
        <w:t>（一）</w:t>
      </w:r>
      <w:r w:rsidR="00254D96" w:rsidRPr="00292CF8">
        <w:rPr>
          <w:rFonts w:ascii="仿宋_GB2312" w:eastAsia="仿宋_GB2312" w:hAnsi="仿宋" w:hint="eastAsia"/>
          <w:b/>
          <w:sz w:val="30"/>
          <w:szCs w:val="30"/>
        </w:rPr>
        <w:t>将沪港通标的证券范围扩展至股票ETF</w:t>
      </w:r>
    </w:p>
    <w:p w:rsidR="00630707" w:rsidRPr="00292CF8" w:rsidRDefault="00254D96" w:rsidP="00292CF8">
      <w:pPr>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1.明确标的证券范围。新增第十六条、第六十四条，明确沪股通、港股通标的证券包括股票和股票ETF。</w:t>
      </w:r>
    </w:p>
    <w:p w:rsidR="00630707" w:rsidRPr="00292CF8" w:rsidRDefault="00254D96" w:rsidP="00292CF8">
      <w:pPr>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2.调整涉及标的证券的通用规定。对于同时适用于股票、股</w:t>
      </w:r>
      <w:r w:rsidRPr="00292CF8">
        <w:rPr>
          <w:rFonts w:ascii="仿宋_GB2312" w:eastAsia="仿宋_GB2312" w:hAnsi="仿宋" w:hint="eastAsia"/>
          <w:sz w:val="30"/>
          <w:szCs w:val="30"/>
        </w:rPr>
        <w:lastRenderedPageBreak/>
        <w:t>票ETF的规定，统一将“股票”表述调整为“证券”或“标的证券”，包括报价等交易事项、保证金交易和担保卖空、非交易过户、即时行情发布、信息披露等，涉及第二十八条、第三十三条、第三十四条等。</w:t>
      </w:r>
    </w:p>
    <w:p w:rsidR="00630707" w:rsidRPr="00292CF8" w:rsidRDefault="00254D96" w:rsidP="00292CF8">
      <w:pPr>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3.新增沪股通ETF份额持有人投票权的规定。修订第一百三十二条，明确香港结算作为名义持有人参与基金份额持有人大会并行使表决权的方式，按照《公开募集证券投资基金运作管理办法》相关规定执行。</w:t>
      </w:r>
    </w:p>
    <w:p w:rsidR="00630707" w:rsidRPr="00292CF8" w:rsidRDefault="00254D96" w:rsidP="00292CF8">
      <w:pPr>
        <w:overflowPunct w:val="0"/>
        <w:adjustRightInd w:val="0"/>
        <w:snapToGrid w:val="0"/>
        <w:spacing w:line="540" w:lineRule="exact"/>
        <w:ind w:firstLineChars="200" w:firstLine="602"/>
        <w:rPr>
          <w:rFonts w:ascii="仿宋_GB2312" w:eastAsia="仿宋_GB2312" w:hAnsi="仿宋"/>
          <w:sz w:val="30"/>
          <w:szCs w:val="30"/>
        </w:rPr>
      </w:pPr>
      <w:r w:rsidRPr="00292CF8">
        <w:rPr>
          <w:rFonts w:ascii="仿宋_GB2312" w:eastAsia="仿宋_GB2312" w:hAnsi="仿宋" w:hint="eastAsia"/>
          <w:b/>
          <w:sz w:val="30"/>
          <w:szCs w:val="30"/>
        </w:rPr>
        <w:t>（二）明确股票ETF纳入及调整机制</w:t>
      </w:r>
    </w:p>
    <w:p w:rsidR="00630707" w:rsidRPr="00292CF8" w:rsidRDefault="00254D96" w:rsidP="00292CF8">
      <w:pPr>
        <w:overflowPunct w:val="0"/>
        <w:adjustRightInd w:val="0"/>
        <w:snapToGrid w:val="0"/>
        <w:spacing w:line="540" w:lineRule="exact"/>
        <w:ind w:firstLineChars="200" w:firstLine="600"/>
        <w:rPr>
          <w:rFonts w:ascii="仿宋_GB2312" w:eastAsia="仿宋_GB2312" w:hAnsi="Times New Roman" w:cs="仿宋"/>
          <w:sz w:val="30"/>
          <w:szCs w:val="30"/>
        </w:rPr>
      </w:pPr>
      <w:r w:rsidRPr="00292CF8">
        <w:rPr>
          <w:rFonts w:ascii="仿宋_GB2312" w:eastAsia="仿宋_GB2312" w:hAnsi="仿宋" w:hint="eastAsia"/>
          <w:sz w:val="30"/>
          <w:szCs w:val="30"/>
        </w:rPr>
        <w:t>1.明确纳入条件。新增第二十二条、第</w:t>
      </w:r>
      <w:r w:rsidRPr="00292CF8">
        <w:rPr>
          <w:rFonts w:ascii="仿宋_GB2312" w:eastAsia="仿宋_GB2312" w:hAnsi="Times New Roman" w:cs="仿宋" w:hint="eastAsia"/>
          <w:sz w:val="30"/>
          <w:szCs w:val="30"/>
        </w:rPr>
        <w:t>七十</w:t>
      </w:r>
      <w:r w:rsidRPr="00292CF8">
        <w:rPr>
          <w:rFonts w:ascii="仿宋_GB2312" w:eastAsia="仿宋_GB2312" w:hAnsi="仿宋" w:hint="eastAsia"/>
          <w:sz w:val="30"/>
          <w:szCs w:val="30"/>
        </w:rPr>
        <w:t>条，明确沪股通、港股通ETF定期调整纳入条件，包括产品属性、资产规模、上市时间、跟踪指数发布时间、</w:t>
      </w:r>
      <w:r w:rsidRPr="00292CF8">
        <w:rPr>
          <w:rFonts w:ascii="仿宋_GB2312" w:eastAsia="仿宋_GB2312" w:hAnsi="Times New Roman" w:cs="仿宋" w:hint="eastAsia"/>
          <w:sz w:val="30"/>
          <w:szCs w:val="30"/>
        </w:rPr>
        <w:t>沪深港通股票权重占比、跟踪指数及其编制方案等。</w:t>
      </w:r>
    </w:p>
    <w:p w:rsidR="00630707" w:rsidRPr="00292CF8" w:rsidRDefault="00254D96" w:rsidP="00292CF8">
      <w:pPr>
        <w:overflowPunct w:val="0"/>
        <w:adjustRightInd w:val="0"/>
        <w:snapToGrid w:val="0"/>
        <w:spacing w:line="540" w:lineRule="exact"/>
        <w:ind w:firstLineChars="200" w:firstLine="600"/>
        <w:rPr>
          <w:rFonts w:ascii="仿宋_GB2312" w:eastAsia="仿宋_GB2312" w:hAnsi="Times New Roman" w:cs="仿宋"/>
          <w:sz w:val="30"/>
          <w:szCs w:val="30"/>
        </w:rPr>
      </w:pPr>
      <w:r w:rsidRPr="00292CF8">
        <w:rPr>
          <w:rFonts w:ascii="仿宋_GB2312" w:eastAsia="仿宋_GB2312" w:hAnsi="Times New Roman" w:cs="仿宋" w:hint="eastAsia"/>
          <w:sz w:val="30"/>
          <w:szCs w:val="30"/>
        </w:rPr>
        <w:t>2.明确定期及临时调整安排。新增第二十三条、第七十一条，明确</w:t>
      </w:r>
      <w:r w:rsidRPr="00292CF8">
        <w:rPr>
          <w:rFonts w:ascii="仿宋_GB2312" w:eastAsia="仿宋_GB2312" w:hAnsi="仿宋" w:hint="eastAsia"/>
          <w:sz w:val="30"/>
          <w:szCs w:val="30"/>
        </w:rPr>
        <w:t>沪股通、港股通ETF定期调整调出情形，包括资产规模、</w:t>
      </w:r>
      <w:r w:rsidRPr="00292CF8">
        <w:rPr>
          <w:rFonts w:ascii="仿宋_GB2312" w:eastAsia="仿宋_GB2312" w:hAnsi="Times New Roman" w:cs="仿宋" w:hint="eastAsia"/>
          <w:sz w:val="30"/>
          <w:szCs w:val="30"/>
        </w:rPr>
        <w:t>沪深港股通股票权重占比、跟踪指数及其编制方案等。新增第二十五条、第七十三条，明确股票ETF终止上市的临时调整机制</w:t>
      </w:r>
      <w:r w:rsidRPr="00292CF8">
        <w:rPr>
          <w:rFonts w:ascii="仿宋_GB2312" w:eastAsia="仿宋_GB2312" w:hAnsi="仿宋" w:hint="eastAsia"/>
          <w:sz w:val="30"/>
          <w:szCs w:val="30"/>
        </w:rPr>
        <w:t>。</w:t>
      </w:r>
    </w:p>
    <w:p w:rsidR="00630707" w:rsidRPr="00292CF8" w:rsidRDefault="00254D96" w:rsidP="00292CF8">
      <w:pPr>
        <w:overflowPunct w:val="0"/>
        <w:adjustRightInd w:val="0"/>
        <w:snapToGrid w:val="0"/>
        <w:spacing w:line="540" w:lineRule="exact"/>
        <w:ind w:firstLineChars="200" w:firstLine="600"/>
        <w:rPr>
          <w:rFonts w:ascii="仿宋_GB2312" w:eastAsia="仿宋_GB2312" w:hAnsi="Times New Roman" w:cs="仿宋"/>
          <w:sz w:val="30"/>
          <w:szCs w:val="30"/>
        </w:rPr>
      </w:pPr>
      <w:r w:rsidRPr="00292CF8">
        <w:rPr>
          <w:rFonts w:ascii="仿宋_GB2312" w:eastAsia="仿宋_GB2312" w:hAnsi="Times New Roman" w:cs="仿宋" w:hint="eastAsia"/>
          <w:sz w:val="30"/>
          <w:szCs w:val="30"/>
        </w:rPr>
        <w:t>3.明确定期调整公布及生效时间安排。新增第二十四条、第七十二条，明确</w:t>
      </w:r>
      <w:r w:rsidRPr="00292CF8">
        <w:rPr>
          <w:rFonts w:ascii="仿宋_GB2312" w:eastAsia="仿宋_GB2312" w:hAnsi="仿宋" w:hint="eastAsia"/>
          <w:sz w:val="30"/>
          <w:szCs w:val="30"/>
        </w:rPr>
        <w:t>沪股通、港股通ETF</w:t>
      </w:r>
      <w:r w:rsidRPr="00292CF8">
        <w:rPr>
          <w:rFonts w:ascii="仿宋_GB2312" w:eastAsia="仿宋_GB2312" w:hAnsi="Times New Roman" w:cs="仿宋" w:hint="eastAsia"/>
          <w:sz w:val="30"/>
          <w:szCs w:val="30"/>
        </w:rPr>
        <w:t>定期调整公布及生效时点。</w:t>
      </w:r>
    </w:p>
    <w:p w:rsidR="00630707" w:rsidRPr="00292CF8" w:rsidRDefault="00254D96" w:rsidP="00292CF8">
      <w:pPr>
        <w:overflowPunct w:val="0"/>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Times New Roman" w:cs="仿宋" w:hint="eastAsia"/>
          <w:sz w:val="30"/>
          <w:szCs w:val="30"/>
        </w:rPr>
        <w:t>4.明确交易所无法获取有关数据的股票ETF不予纳入。</w:t>
      </w:r>
      <w:r w:rsidRPr="00292CF8">
        <w:rPr>
          <w:rFonts w:ascii="仿宋_GB2312" w:eastAsia="仿宋_GB2312" w:hAnsi="仿宋" w:hint="eastAsia"/>
          <w:sz w:val="30"/>
          <w:szCs w:val="30"/>
        </w:rPr>
        <w:t>新增第二十六条、第七十四条，明确本所或联交所无法获得用于判断纳入条件的指数数据时，相应股票ETF不予纳入。</w:t>
      </w:r>
    </w:p>
    <w:p w:rsidR="00630707" w:rsidRPr="00292CF8" w:rsidRDefault="00254D96" w:rsidP="00292CF8">
      <w:pPr>
        <w:overflowPunct w:val="0"/>
        <w:adjustRightInd w:val="0"/>
        <w:snapToGrid w:val="0"/>
        <w:spacing w:line="540" w:lineRule="exact"/>
        <w:ind w:firstLineChars="200" w:firstLine="602"/>
        <w:rPr>
          <w:rFonts w:ascii="仿宋_GB2312" w:eastAsia="仿宋_GB2312" w:hAnsi="仿宋"/>
          <w:b/>
          <w:sz w:val="30"/>
          <w:szCs w:val="30"/>
        </w:rPr>
      </w:pPr>
      <w:r w:rsidRPr="00292CF8">
        <w:rPr>
          <w:rFonts w:ascii="仿宋_GB2312" w:eastAsia="仿宋_GB2312" w:hAnsi="仿宋" w:hint="eastAsia"/>
          <w:b/>
          <w:sz w:val="30"/>
          <w:szCs w:val="30"/>
        </w:rPr>
        <w:t>（三）其他股票ETF纳入相关修订。</w:t>
      </w:r>
    </w:p>
    <w:p w:rsidR="00630707" w:rsidRPr="00292CF8" w:rsidRDefault="00254D96" w:rsidP="00292CF8">
      <w:pPr>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1.新增沪股通ETF担保卖空豁免提价限制的规定。根据本所《融资融券交易实施细则》，ETF融券卖出豁免提价限制（即申报价格不得低于最近成交价），在第三十五条中新增第四款豁免规定。</w:t>
      </w:r>
    </w:p>
    <w:p w:rsidR="00630707" w:rsidRPr="00292CF8" w:rsidRDefault="00254D96" w:rsidP="00292CF8">
      <w:pPr>
        <w:overflowPunct w:val="0"/>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2.补充沪股通、港股通ETF信息披露渠道。根据《公开募集证券投资基金信息披露管理办法》及联交所有关规定，修订第一百三十条、第一百三十一条。</w:t>
      </w:r>
    </w:p>
    <w:p w:rsidR="00630707" w:rsidRPr="00292CF8" w:rsidRDefault="00254D96" w:rsidP="00292CF8">
      <w:pPr>
        <w:overflowPunct w:val="0"/>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3</w:t>
      </w:r>
      <w:r w:rsidR="00292CF8" w:rsidRPr="00292CF8">
        <w:rPr>
          <w:rFonts w:ascii="仿宋_GB2312" w:eastAsia="仿宋_GB2312" w:hAnsi="仿宋" w:hint="eastAsia"/>
          <w:sz w:val="30"/>
          <w:szCs w:val="30"/>
        </w:rPr>
        <w:t>.</w:t>
      </w:r>
      <w:r w:rsidRPr="00292CF8">
        <w:rPr>
          <w:rFonts w:ascii="仿宋_GB2312" w:eastAsia="仿宋_GB2312" w:hAnsi="仿宋" w:hint="eastAsia"/>
          <w:sz w:val="30"/>
          <w:szCs w:val="30"/>
        </w:rPr>
        <w:t>新增及补充相关释义。修订第一百二十六条，新增沪股通及港通标的证券、ETF、沪股通及港股通ETF、深股通、定期调整考察截止日、宽基股票指数、合成ETF、杠杆及反向产品等释义；补充沪股通、港股通释义，增加股票ETF相关安排。</w:t>
      </w:r>
    </w:p>
    <w:p w:rsidR="00630707" w:rsidRPr="00292CF8" w:rsidRDefault="00254D96" w:rsidP="00292CF8">
      <w:pPr>
        <w:overflowPunct w:val="0"/>
        <w:adjustRightInd w:val="0"/>
        <w:snapToGrid w:val="0"/>
        <w:spacing w:line="540" w:lineRule="exact"/>
        <w:ind w:firstLineChars="200" w:firstLine="602"/>
        <w:rPr>
          <w:rFonts w:ascii="仿宋_GB2312" w:eastAsia="仿宋_GB2312" w:hAnsi="仿宋"/>
          <w:sz w:val="30"/>
          <w:szCs w:val="30"/>
        </w:rPr>
      </w:pPr>
      <w:r w:rsidRPr="00292CF8">
        <w:rPr>
          <w:rFonts w:ascii="仿宋_GB2312" w:eastAsia="仿宋_GB2312" w:hAnsi="仿宋" w:hint="eastAsia"/>
          <w:b/>
          <w:sz w:val="30"/>
          <w:szCs w:val="30"/>
        </w:rPr>
        <w:t>（四）与A股相关规则的配套衔接的适应性修改</w:t>
      </w:r>
    </w:p>
    <w:p w:rsidR="00630707" w:rsidRPr="00292CF8" w:rsidRDefault="00254D96" w:rsidP="00292CF8">
      <w:pPr>
        <w:overflowPunct w:val="0"/>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1</w:t>
      </w:r>
      <w:r w:rsidR="00292CF8" w:rsidRPr="00292CF8">
        <w:rPr>
          <w:rFonts w:ascii="仿宋_GB2312" w:eastAsia="仿宋_GB2312" w:hAnsi="仿宋" w:hint="eastAsia"/>
          <w:sz w:val="30"/>
          <w:szCs w:val="30"/>
        </w:rPr>
        <w:t>.</w:t>
      </w:r>
      <w:r w:rsidRPr="00292CF8">
        <w:rPr>
          <w:rFonts w:ascii="仿宋_GB2312" w:eastAsia="仿宋_GB2312" w:hAnsi="仿宋" w:hint="eastAsia"/>
          <w:sz w:val="30"/>
          <w:szCs w:val="30"/>
        </w:rPr>
        <w:t>衔接退市新规，修改不纳入沪股通股票的情形</w:t>
      </w:r>
      <w:r w:rsidR="00292CF8">
        <w:rPr>
          <w:rFonts w:ascii="仿宋_GB2312" w:eastAsia="仿宋_GB2312" w:hAnsi="仿宋" w:hint="eastAsia"/>
          <w:sz w:val="30"/>
          <w:szCs w:val="30"/>
        </w:rPr>
        <w:t>。</w:t>
      </w:r>
      <w:r w:rsidRPr="00292CF8">
        <w:rPr>
          <w:rFonts w:ascii="仿宋_GB2312" w:eastAsia="仿宋_GB2312" w:hAnsi="仿宋" w:hint="eastAsia"/>
          <w:sz w:val="30"/>
          <w:szCs w:val="30"/>
        </w:rPr>
        <w:t>《上海证券交易所股票上市规则（2020年12月修订）》取消了暂停上市环节，且目前本所已无暂停上市股票。据此</w:t>
      </w:r>
      <w:r w:rsidR="00292CF8">
        <w:rPr>
          <w:rFonts w:ascii="仿宋_GB2312" w:eastAsia="仿宋_GB2312" w:hAnsi="仿宋" w:hint="eastAsia"/>
          <w:sz w:val="30"/>
          <w:szCs w:val="30"/>
        </w:rPr>
        <w:t>，</w:t>
      </w:r>
      <w:r w:rsidRPr="00292CF8">
        <w:rPr>
          <w:rFonts w:ascii="仿宋_GB2312" w:eastAsia="仿宋_GB2312" w:hAnsi="仿宋" w:hint="eastAsia"/>
          <w:sz w:val="30"/>
          <w:szCs w:val="30"/>
        </w:rPr>
        <w:t>调整不纳入沪股通股票的情形，修订第十七条，将“被本所暂停上市的股票”修改为“被摘牌的股票”。</w:t>
      </w:r>
    </w:p>
    <w:p w:rsidR="00630707" w:rsidRPr="00292CF8" w:rsidRDefault="00254D96" w:rsidP="00292CF8">
      <w:pPr>
        <w:overflowPunct w:val="0"/>
        <w:adjustRightInd w:val="0"/>
        <w:snapToGrid w:val="0"/>
        <w:spacing w:line="540" w:lineRule="exact"/>
        <w:ind w:firstLineChars="200" w:firstLine="600"/>
        <w:rPr>
          <w:rFonts w:ascii="仿宋_GB2312" w:eastAsia="仿宋_GB2312" w:hAnsi="仿宋"/>
          <w:sz w:val="30"/>
          <w:szCs w:val="30"/>
        </w:rPr>
      </w:pPr>
      <w:r w:rsidRPr="00292CF8">
        <w:rPr>
          <w:rFonts w:ascii="仿宋_GB2312" w:eastAsia="仿宋_GB2312" w:hAnsi="仿宋" w:hint="eastAsia"/>
          <w:sz w:val="30"/>
          <w:szCs w:val="30"/>
        </w:rPr>
        <w:t>2</w:t>
      </w:r>
      <w:r w:rsidR="00292CF8" w:rsidRPr="00292CF8">
        <w:rPr>
          <w:rFonts w:ascii="仿宋_GB2312" w:eastAsia="仿宋_GB2312" w:hAnsi="仿宋" w:hint="eastAsia"/>
          <w:sz w:val="30"/>
          <w:szCs w:val="30"/>
        </w:rPr>
        <w:t>.</w:t>
      </w:r>
      <w:r w:rsidRPr="00292CF8">
        <w:rPr>
          <w:rFonts w:ascii="仿宋_GB2312" w:eastAsia="仿宋_GB2312" w:hAnsi="仿宋" w:hint="eastAsia"/>
          <w:sz w:val="30"/>
          <w:szCs w:val="30"/>
        </w:rPr>
        <w:t>补充关于沪股通科创板股票盘后固定价格交易的规定。新增第三十一条，明确沪股通标的证券为科创板股票的，可以采用盘后固定价格交易申报，规定盘后固定价格申报指令应包含的内容；修订第四十九条，将盘后固定价格交易纳入沪股通额度控制。</w:t>
      </w:r>
    </w:p>
    <w:p w:rsidR="00630707" w:rsidRPr="00292CF8" w:rsidRDefault="00254D96" w:rsidP="00292CF8">
      <w:pPr>
        <w:adjustRightInd w:val="0"/>
        <w:snapToGrid w:val="0"/>
        <w:spacing w:line="540" w:lineRule="exact"/>
        <w:ind w:firstLineChars="200" w:firstLine="602"/>
        <w:rPr>
          <w:rFonts w:ascii="黑体" w:eastAsia="黑体" w:hAnsi="黑体"/>
          <w:b/>
          <w:sz w:val="30"/>
          <w:szCs w:val="30"/>
        </w:rPr>
      </w:pPr>
      <w:r w:rsidRPr="00292CF8">
        <w:rPr>
          <w:rFonts w:ascii="黑体" w:eastAsia="黑体" w:hAnsi="黑体" w:hint="eastAsia"/>
          <w:b/>
          <w:sz w:val="30"/>
          <w:szCs w:val="30"/>
        </w:rPr>
        <w:t>三、实施安排</w:t>
      </w:r>
    </w:p>
    <w:p w:rsidR="00630707" w:rsidRDefault="00254D96" w:rsidP="00292CF8">
      <w:pPr>
        <w:adjustRightInd w:val="0"/>
        <w:snapToGrid w:val="0"/>
        <w:spacing w:line="540" w:lineRule="exact"/>
        <w:ind w:firstLineChars="200" w:firstLine="600"/>
        <w:rPr>
          <w:rFonts w:ascii="仿宋_GB2312" w:eastAsia="仿宋_GB2312" w:hAnsi="仿宋" w:hint="eastAsia"/>
          <w:sz w:val="30"/>
          <w:szCs w:val="30"/>
        </w:rPr>
      </w:pPr>
      <w:r w:rsidRPr="00292CF8">
        <w:rPr>
          <w:rFonts w:ascii="仿宋_GB2312" w:eastAsia="仿宋_GB2312" w:hAnsi="仿宋" w:hint="eastAsia"/>
          <w:sz w:val="30"/>
          <w:szCs w:val="30"/>
        </w:rPr>
        <w:t>对于上述修订的沪股通ETF担保卖空豁免提价限制、联交所证券交易服务公司披露沪股通</w:t>
      </w:r>
      <w:r w:rsidRPr="00292CF8">
        <w:rPr>
          <w:rFonts w:ascii="仿宋_GB2312" w:eastAsia="仿宋_GB2312" w:hAnsi="仿宋"/>
          <w:sz w:val="30"/>
          <w:szCs w:val="30"/>
        </w:rPr>
        <w:t>ETF担保卖空比例、</w:t>
      </w:r>
      <w:r w:rsidRPr="00292CF8">
        <w:rPr>
          <w:rFonts w:ascii="仿宋_GB2312" w:eastAsia="仿宋_GB2312" w:hAnsi="仿宋" w:hint="eastAsia"/>
          <w:sz w:val="30"/>
          <w:szCs w:val="30"/>
        </w:rPr>
        <w:t>沪股通科创板股票盘后固定价格交易的规定暂不实施，本所将另行通知具体实施时间及业务安排。</w:t>
      </w:r>
    </w:p>
    <w:p w:rsidR="00292CF8" w:rsidRDefault="00292CF8" w:rsidP="00292CF8">
      <w:pPr>
        <w:adjustRightInd w:val="0"/>
        <w:snapToGrid w:val="0"/>
        <w:spacing w:line="540" w:lineRule="exact"/>
        <w:ind w:firstLineChars="200" w:firstLine="600"/>
        <w:rPr>
          <w:rFonts w:ascii="仿宋_GB2312" w:eastAsia="仿宋_GB2312" w:hAnsi="仿宋"/>
          <w:sz w:val="30"/>
          <w:szCs w:val="30"/>
        </w:rPr>
      </w:pPr>
      <w:r>
        <w:rPr>
          <w:rFonts w:ascii="仿宋_GB2312" w:eastAsia="仿宋_GB2312" w:hAnsi="仿宋" w:hint="eastAsia"/>
          <w:sz w:val="30"/>
          <w:szCs w:val="30"/>
        </w:rPr>
        <w:t>特此说明。</w:t>
      </w:r>
    </w:p>
    <w:sectPr w:rsidR="00292CF8" w:rsidSect="00630707">
      <w:footerReference w:type="default" r:id="rId8"/>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7688" w:rsidRDefault="006A7688" w:rsidP="00630707">
      <w:r>
        <w:separator/>
      </w:r>
    </w:p>
  </w:endnote>
  <w:endnote w:type="continuationSeparator" w:id="1">
    <w:p w:rsidR="006A7688" w:rsidRDefault="006A7688" w:rsidP="006307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00000000" w:usb2="00000016" w:usb3="00000000" w:csb0="0004000F" w:csb1="00000000"/>
  </w:font>
  <w:font w:name="仿宋_GB2312">
    <w:altName w:val="汉仪仿宋KW"/>
    <w:panose1 w:val="02010609030101010101"/>
    <w:charset w:val="86"/>
    <w:family w:val="modern"/>
    <w:pitch w:val="fixed"/>
    <w:sig w:usb0="00000001" w:usb1="080E0000" w:usb2="00000010" w:usb3="00000000" w:csb0="00040000" w:csb1="00000000"/>
  </w:font>
  <w:font w:name="仿宋">
    <w:altName w:val="汉仪仿宋KW"/>
    <w:panose1 w:val="02010609060101010101"/>
    <w:charset w:val="86"/>
    <w:family w:val="modern"/>
    <w:pitch w:val="fixed"/>
    <w:sig w:usb0="800002BF" w:usb1="38CF7CFA" w:usb2="00000016" w:usb3="00000000" w:csb0="00040001" w:csb1="00000000"/>
  </w:font>
  <w:font w:name="方正大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707" w:rsidRDefault="00254D96">
    <w:pPr>
      <w:framePr w:wrap="around" w:vAnchor="text" w:hAnchor="margin" w:xAlign="outside" w:y="1"/>
      <w:tabs>
        <w:tab w:val="center" w:pos="4153"/>
        <w:tab w:val="right" w:pos="8306"/>
      </w:tabs>
      <w:snapToGrid w:val="0"/>
      <w:jc w:val="left"/>
      <w:rPr>
        <w:rFonts w:ascii="宋体" w:eastAsia="宋体" w:hAnsi="宋体" w:cs="Times New Roman"/>
        <w:sz w:val="22"/>
      </w:rPr>
    </w:pPr>
    <w:r>
      <w:rPr>
        <w:rFonts w:ascii="宋体" w:eastAsia="宋体" w:hAnsi="宋体" w:cs="Times New Roman" w:hint="eastAsia"/>
        <w:sz w:val="22"/>
      </w:rPr>
      <w:t xml:space="preserve">— </w:t>
    </w:r>
    <w:r w:rsidR="00D1147B">
      <w:rPr>
        <w:rFonts w:ascii="宋体" w:eastAsia="宋体" w:hAnsi="宋体" w:cs="Times New Roman"/>
        <w:sz w:val="22"/>
      </w:rPr>
      <w:fldChar w:fldCharType="begin"/>
    </w:r>
    <w:r>
      <w:rPr>
        <w:rFonts w:ascii="宋体" w:eastAsia="宋体" w:hAnsi="宋体" w:cs="Times New Roman"/>
        <w:sz w:val="22"/>
      </w:rPr>
      <w:instrText xml:space="preserve">PAGE  </w:instrText>
    </w:r>
    <w:r w:rsidR="00D1147B">
      <w:rPr>
        <w:rFonts w:ascii="宋体" w:eastAsia="宋体" w:hAnsi="宋体" w:cs="Times New Roman"/>
        <w:sz w:val="22"/>
      </w:rPr>
      <w:fldChar w:fldCharType="separate"/>
    </w:r>
    <w:r w:rsidR="006A7688">
      <w:rPr>
        <w:rFonts w:ascii="宋体" w:eastAsia="宋体" w:hAnsi="宋体" w:cs="Times New Roman"/>
        <w:noProof/>
        <w:sz w:val="22"/>
      </w:rPr>
      <w:t>1</w:t>
    </w:r>
    <w:r w:rsidR="00D1147B">
      <w:rPr>
        <w:rFonts w:ascii="宋体" w:eastAsia="宋体" w:hAnsi="宋体" w:cs="Times New Roman"/>
        <w:sz w:val="22"/>
      </w:rPr>
      <w:fldChar w:fldCharType="end"/>
    </w:r>
    <w:r>
      <w:rPr>
        <w:rFonts w:ascii="宋体" w:eastAsia="宋体" w:hAnsi="宋体" w:cs="Times New Roman" w:hint="eastAsia"/>
        <w:sz w:val="22"/>
      </w:rPr>
      <w:t xml:space="preserve"> —</w:t>
    </w:r>
  </w:p>
  <w:p w:rsidR="00630707" w:rsidRDefault="0063070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7688" w:rsidRDefault="006A7688" w:rsidP="00630707">
      <w:r>
        <w:separator/>
      </w:r>
    </w:p>
  </w:footnote>
  <w:footnote w:type="continuationSeparator" w:id="1">
    <w:p w:rsidR="006A7688" w:rsidRDefault="006A7688" w:rsidP="006307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232DC6"/>
    <w:multiLevelType w:val="multilevel"/>
    <w:tmpl w:val="48232DC6"/>
    <w:lvl w:ilvl="0">
      <w:start w:val="1"/>
      <w:numFmt w:val="japaneseCounting"/>
      <w:lvlText w:val="（%1）"/>
      <w:lvlJc w:val="left"/>
      <w:pPr>
        <w:ind w:left="1682" w:hanging="1080"/>
      </w:pPr>
      <w:rPr>
        <w:rFonts w:hint="default"/>
      </w:rPr>
    </w:lvl>
    <w:lvl w:ilvl="1">
      <w:start w:val="1"/>
      <w:numFmt w:val="lowerLetter"/>
      <w:lvlText w:val="%2)"/>
      <w:lvlJc w:val="left"/>
      <w:pPr>
        <w:ind w:left="1442" w:hanging="420"/>
      </w:p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李思童">
    <w15:presenceInfo w15:providerId="None" w15:userId="李思童"/>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10965"/>
    <w:rsid w:val="FAF51147"/>
    <w:rsid w:val="00026785"/>
    <w:rsid w:val="00041E20"/>
    <w:rsid w:val="000905F7"/>
    <w:rsid w:val="000950F3"/>
    <w:rsid w:val="000A560C"/>
    <w:rsid w:val="000C1506"/>
    <w:rsid w:val="00114C61"/>
    <w:rsid w:val="0013043E"/>
    <w:rsid w:val="00144A79"/>
    <w:rsid w:val="00173CF6"/>
    <w:rsid w:val="00194EA4"/>
    <w:rsid w:val="001B22EA"/>
    <w:rsid w:val="001B2FCD"/>
    <w:rsid w:val="00252AFE"/>
    <w:rsid w:val="00254D96"/>
    <w:rsid w:val="002633E3"/>
    <w:rsid w:val="00282E36"/>
    <w:rsid w:val="00292CF8"/>
    <w:rsid w:val="00295A90"/>
    <w:rsid w:val="002962B8"/>
    <w:rsid w:val="002A0A2D"/>
    <w:rsid w:val="002F1777"/>
    <w:rsid w:val="00311372"/>
    <w:rsid w:val="00330386"/>
    <w:rsid w:val="00346D11"/>
    <w:rsid w:val="0035186E"/>
    <w:rsid w:val="003534E4"/>
    <w:rsid w:val="003731E5"/>
    <w:rsid w:val="003C6399"/>
    <w:rsid w:val="003D52EC"/>
    <w:rsid w:val="004265BC"/>
    <w:rsid w:val="004523E3"/>
    <w:rsid w:val="00483E2D"/>
    <w:rsid w:val="004C4580"/>
    <w:rsid w:val="004D26C3"/>
    <w:rsid w:val="004E70E7"/>
    <w:rsid w:val="00504900"/>
    <w:rsid w:val="0050644E"/>
    <w:rsid w:val="0051042C"/>
    <w:rsid w:val="00532A67"/>
    <w:rsid w:val="005475F5"/>
    <w:rsid w:val="005A3A80"/>
    <w:rsid w:val="005B0BD9"/>
    <w:rsid w:val="0061161C"/>
    <w:rsid w:val="00612D45"/>
    <w:rsid w:val="00627F45"/>
    <w:rsid w:val="00630707"/>
    <w:rsid w:val="0064027E"/>
    <w:rsid w:val="006677CA"/>
    <w:rsid w:val="006778DE"/>
    <w:rsid w:val="00681732"/>
    <w:rsid w:val="0068311E"/>
    <w:rsid w:val="006A7688"/>
    <w:rsid w:val="006C4099"/>
    <w:rsid w:val="006D2685"/>
    <w:rsid w:val="00736C92"/>
    <w:rsid w:val="00756578"/>
    <w:rsid w:val="00770A18"/>
    <w:rsid w:val="007E4F3C"/>
    <w:rsid w:val="00805AB0"/>
    <w:rsid w:val="00814BDE"/>
    <w:rsid w:val="00865E07"/>
    <w:rsid w:val="00876477"/>
    <w:rsid w:val="008A461A"/>
    <w:rsid w:val="008A675A"/>
    <w:rsid w:val="008B13C1"/>
    <w:rsid w:val="008D7EB2"/>
    <w:rsid w:val="00910965"/>
    <w:rsid w:val="0091208E"/>
    <w:rsid w:val="0098250B"/>
    <w:rsid w:val="009A363B"/>
    <w:rsid w:val="009A4875"/>
    <w:rsid w:val="009A661C"/>
    <w:rsid w:val="00A00102"/>
    <w:rsid w:val="00A13EA8"/>
    <w:rsid w:val="00A21095"/>
    <w:rsid w:val="00A337F4"/>
    <w:rsid w:val="00A41F99"/>
    <w:rsid w:val="00A50F09"/>
    <w:rsid w:val="00B22819"/>
    <w:rsid w:val="00B23078"/>
    <w:rsid w:val="00B35B59"/>
    <w:rsid w:val="00B550EB"/>
    <w:rsid w:val="00B643AE"/>
    <w:rsid w:val="00B8577E"/>
    <w:rsid w:val="00BC1C83"/>
    <w:rsid w:val="00C35B07"/>
    <w:rsid w:val="00C35C3A"/>
    <w:rsid w:val="00C8360B"/>
    <w:rsid w:val="00CA5145"/>
    <w:rsid w:val="00CD08F6"/>
    <w:rsid w:val="00CD10B8"/>
    <w:rsid w:val="00D1147B"/>
    <w:rsid w:val="00D2718F"/>
    <w:rsid w:val="00D36EBC"/>
    <w:rsid w:val="00DC0E2F"/>
    <w:rsid w:val="00DD6AC5"/>
    <w:rsid w:val="00DF09EA"/>
    <w:rsid w:val="00E530FB"/>
    <w:rsid w:val="00E55B4A"/>
    <w:rsid w:val="00E611F6"/>
    <w:rsid w:val="00E66929"/>
    <w:rsid w:val="00E66C5C"/>
    <w:rsid w:val="00E731E2"/>
    <w:rsid w:val="00ED111D"/>
    <w:rsid w:val="00ED1D0A"/>
    <w:rsid w:val="00ED70A8"/>
    <w:rsid w:val="00EE1B6A"/>
    <w:rsid w:val="00F15144"/>
    <w:rsid w:val="00F173A7"/>
    <w:rsid w:val="00F71732"/>
    <w:rsid w:val="00FD02FF"/>
    <w:rsid w:val="00FE238C"/>
    <w:rsid w:val="00FE78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70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rsid w:val="00630707"/>
    <w:pPr>
      <w:jc w:val="left"/>
    </w:pPr>
  </w:style>
  <w:style w:type="paragraph" w:styleId="a4">
    <w:name w:val="Balloon Text"/>
    <w:basedOn w:val="a"/>
    <w:link w:val="Char0"/>
    <w:uiPriority w:val="99"/>
    <w:semiHidden/>
    <w:unhideWhenUsed/>
    <w:rsid w:val="00630707"/>
    <w:rPr>
      <w:sz w:val="18"/>
      <w:szCs w:val="18"/>
    </w:rPr>
  </w:style>
  <w:style w:type="paragraph" w:styleId="a5">
    <w:name w:val="footer"/>
    <w:basedOn w:val="a"/>
    <w:link w:val="Char1"/>
    <w:uiPriority w:val="99"/>
    <w:unhideWhenUsed/>
    <w:qFormat/>
    <w:rsid w:val="00630707"/>
    <w:pPr>
      <w:tabs>
        <w:tab w:val="center" w:pos="4153"/>
        <w:tab w:val="right" w:pos="8306"/>
      </w:tabs>
      <w:snapToGrid w:val="0"/>
      <w:jc w:val="left"/>
    </w:pPr>
    <w:rPr>
      <w:sz w:val="18"/>
      <w:szCs w:val="18"/>
    </w:rPr>
  </w:style>
  <w:style w:type="paragraph" w:styleId="a6">
    <w:name w:val="header"/>
    <w:basedOn w:val="a"/>
    <w:link w:val="Char2"/>
    <w:uiPriority w:val="99"/>
    <w:semiHidden/>
    <w:unhideWhenUsed/>
    <w:rsid w:val="00630707"/>
    <w:pPr>
      <w:pBdr>
        <w:bottom w:val="single" w:sz="6" w:space="1" w:color="auto"/>
      </w:pBdr>
      <w:tabs>
        <w:tab w:val="center" w:pos="4153"/>
        <w:tab w:val="right" w:pos="8306"/>
      </w:tabs>
      <w:snapToGrid w:val="0"/>
      <w:jc w:val="center"/>
    </w:pPr>
    <w:rPr>
      <w:sz w:val="18"/>
      <w:szCs w:val="18"/>
    </w:rPr>
  </w:style>
  <w:style w:type="character" w:styleId="a7">
    <w:name w:val="annotation reference"/>
    <w:basedOn w:val="a0"/>
    <w:uiPriority w:val="99"/>
    <w:semiHidden/>
    <w:unhideWhenUsed/>
    <w:rsid w:val="00630707"/>
    <w:rPr>
      <w:sz w:val="21"/>
      <w:szCs w:val="21"/>
    </w:rPr>
  </w:style>
  <w:style w:type="character" w:customStyle="1" w:styleId="Char">
    <w:name w:val="批注文字 Char"/>
    <w:basedOn w:val="a0"/>
    <w:link w:val="a3"/>
    <w:uiPriority w:val="99"/>
    <w:rsid w:val="00630707"/>
  </w:style>
  <w:style w:type="character" w:customStyle="1" w:styleId="Char1">
    <w:name w:val="页脚 Char"/>
    <w:basedOn w:val="a0"/>
    <w:link w:val="a5"/>
    <w:uiPriority w:val="99"/>
    <w:rsid w:val="00630707"/>
    <w:rPr>
      <w:sz w:val="18"/>
      <w:szCs w:val="18"/>
    </w:rPr>
  </w:style>
  <w:style w:type="character" w:customStyle="1" w:styleId="Char0">
    <w:name w:val="批注框文本 Char"/>
    <w:basedOn w:val="a0"/>
    <w:link w:val="a4"/>
    <w:uiPriority w:val="99"/>
    <w:semiHidden/>
    <w:rsid w:val="00630707"/>
    <w:rPr>
      <w:sz w:val="18"/>
      <w:szCs w:val="18"/>
    </w:rPr>
  </w:style>
  <w:style w:type="character" w:customStyle="1" w:styleId="Char2">
    <w:name w:val="页眉 Char"/>
    <w:basedOn w:val="a0"/>
    <w:link w:val="a6"/>
    <w:uiPriority w:val="99"/>
    <w:semiHidden/>
    <w:rsid w:val="00630707"/>
    <w:rPr>
      <w:sz w:val="18"/>
      <w:szCs w:val="18"/>
    </w:rPr>
  </w:style>
  <w:style w:type="paragraph" w:styleId="a8">
    <w:name w:val="List Paragraph"/>
    <w:basedOn w:val="a"/>
    <w:uiPriority w:val="34"/>
    <w:qFormat/>
    <w:rsid w:val="00630707"/>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255</Words>
  <Characters>1455</Characters>
  <Application>Microsoft Office Word</Application>
  <DocSecurity>0</DocSecurity>
  <Lines>12</Lines>
  <Paragraphs>3</Paragraphs>
  <ScaleCrop>false</ScaleCrop>
  <Company>上海证券交易所</Company>
  <LinksUpToDate>false</LinksUpToDate>
  <CharactersWithSpaces>1707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李思童</dc:creator>
  <cp:lastModifiedBy>费琼(拟稿)</cp:lastModifiedBy>
  <cp:revision>5</cp:revision>
  <cp:lastPrinted>2022-03-15T15:33:00Z</cp:lastPrinted>
  <dcterms:created xsi:type="dcterms:W3CDTF">2022-04-27T15:29:00Z</dcterms:created>
  <dcterms:modified xsi:type="dcterms:W3CDTF">2022-05-27T07:00:00Z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