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4190" w:rsidRPr="00680422" w:rsidRDefault="003E4190" w:rsidP="003E4190">
      <w:pPr>
        <w:spacing w:line="520" w:lineRule="exact"/>
        <w:rPr>
          <w:rFonts w:ascii="仿宋_GB2312" w:eastAsia="仿宋_GB2312" w:hAnsi="Times New Roman"/>
          <w:b/>
          <w:bCs/>
          <w:color w:val="000000"/>
          <w:sz w:val="30"/>
          <w:szCs w:val="30"/>
        </w:rPr>
      </w:pPr>
      <w:r w:rsidRPr="00680422">
        <w:rPr>
          <w:rFonts w:ascii="仿宋_GB2312" w:eastAsia="仿宋_GB2312" w:hAnsi="Times New Roman" w:hint="eastAsia"/>
          <w:b/>
          <w:bCs/>
          <w:color w:val="000000"/>
          <w:sz w:val="30"/>
          <w:szCs w:val="30"/>
        </w:rPr>
        <w:t>附件</w:t>
      </w:r>
      <w:r>
        <w:rPr>
          <w:rFonts w:ascii="仿宋_GB2312" w:eastAsia="仿宋_GB2312" w:hAnsi="Times New Roman" w:hint="eastAsia"/>
          <w:b/>
          <w:bCs/>
          <w:color w:val="000000"/>
          <w:sz w:val="30"/>
          <w:szCs w:val="30"/>
        </w:rPr>
        <w:t>10</w:t>
      </w:r>
    </w:p>
    <w:p w:rsidR="003E4190" w:rsidRDefault="003E4190" w:rsidP="003E4190">
      <w:pPr>
        <w:rPr>
          <w:rFonts w:ascii="黑体" w:eastAsia="黑体" w:hAnsi="黑体" w:cs="黑体"/>
          <w:sz w:val="30"/>
          <w:szCs w:val="30"/>
        </w:rPr>
      </w:pPr>
    </w:p>
    <w:p w:rsidR="003E4190" w:rsidRPr="00564B0B" w:rsidRDefault="003E4190" w:rsidP="003E4190">
      <w:pPr>
        <w:ind w:firstLine="723"/>
        <w:jc w:val="center"/>
        <w:rPr>
          <w:rFonts w:ascii="黑体" w:eastAsia="黑体" w:hAnsi="黑体"/>
          <w:b/>
          <w:sz w:val="36"/>
          <w:szCs w:val="36"/>
        </w:rPr>
      </w:pPr>
      <w:r w:rsidRPr="00564B0B">
        <w:rPr>
          <w:rFonts w:ascii="黑体" w:eastAsia="黑体" w:hAnsi="黑体" w:hint="eastAsia"/>
          <w:b/>
          <w:sz w:val="36"/>
          <w:szCs w:val="36"/>
        </w:rPr>
        <w:t>《上海证券交易所债券市场投资者适当性管理办法</w:t>
      </w:r>
      <w:r>
        <w:rPr>
          <w:rFonts w:ascii="黑体" w:eastAsia="黑体" w:hAnsi="黑体" w:hint="eastAsia"/>
          <w:b/>
          <w:sz w:val="36"/>
          <w:szCs w:val="36"/>
        </w:rPr>
        <w:t>（2021年修订）（征求意见稿）</w:t>
      </w:r>
      <w:r w:rsidRPr="00564B0B">
        <w:rPr>
          <w:rFonts w:ascii="黑体" w:eastAsia="黑体" w:hAnsi="黑体" w:hint="eastAsia"/>
          <w:b/>
          <w:sz w:val="36"/>
          <w:szCs w:val="36"/>
        </w:rPr>
        <w:t>》</w:t>
      </w:r>
    </w:p>
    <w:p w:rsidR="003E4190" w:rsidRPr="00564B0B" w:rsidRDefault="003E4190" w:rsidP="003E4190">
      <w:pPr>
        <w:ind w:firstLine="723"/>
        <w:jc w:val="center"/>
        <w:rPr>
          <w:rFonts w:ascii="黑体" w:eastAsia="黑体" w:hAnsi="黑体"/>
          <w:b/>
          <w:sz w:val="36"/>
          <w:szCs w:val="36"/>
        </w:rPr>
      </w:pPr>
      <w:r>
        <w:rPr>
          <w:rFonts w:ascii="黑体" w:eastAsia="黑体" w:hAnsi="黑体" w:hint="eastAsia"/>
          <w:b/>
          <w:sz w:val="36"/>
          <w:szCs w:val="36"/>
        </w:rPr>
        <w:t>修订</w:t>
      </w:r>
      <w:r w:rsidRPr="00564B0B">
        <w:rPr>
          <w:rFonts w:ascii="黑体" w:eastAsia="黑体" w:hAnsi="黑体" w:hint="eastAsia"/>
          <w:b/>
          <w:sz w:val="36"/>
          <w:szCs w:val="36"/>
        </w:rPr>
        <w:t>对照表</w:t>
      </w:r>
    </w:p>
    <w:p w:rsidR="003E4190" w:rsidRDefault="003E4190" w:rsidP="007610E4">
      <w:pPr>
        <w:spacing w:afterLines="100"/>
        <w:ind w:firstLineChars="200" w:firstLine="480"/>
        <w:jc w:val="center"/>
        <w:rPr>
          <w:rFonts w:ascii="仿宋_GB2312" w:eastAsia="仿宋_GB2312" w:hAnsi="黑体" w:cs="黑体"/>
          <w:sz w:val="24"/>
          <w:szCs w:val="24"/>
        </w:rPr>
      </w:pPr>
      <w:r>
        <w:rPr>
          <w:rFonts w:ascii="仿宋_GB2312" w:eastAsia="仿宋_GB2312" w:hAnsi="黑体" w:cs="黑体" w:hint="eastAsia"/>
          <w:sz w:val="24"/>
          <w:szCs w:val="24"/>
        </w:rPr>
        <w:t>（</w:t>
      </w:r>
      <w:r>
        <w:rPr>
          <w:rFonts w:ascii="仿宋_GB2312" w:eastAsia="仿宋_GB2312" w:hAnsi="黑体" w:cs="黑体" w:hint="eastAsia"/>
          <w:sz w:val="24"/>
          <w:szCs w:val="24"/>
          <w:highlight w:val="lightGray"/>
        </w:rPr>
        <w:t>阴影</w:t>
      </w:r>
      <w:r>
        <w:rPr>
          <w:rFonts w:ascii="仿宋_GB2312" w:eastAsia="仿宋_GB2312" w:hAnsi="黑体" w:cs="黑体" w:hint="eastAsia"/>
          <w:sz w:val="24"/>
          <w:szCs w:val="24"/>
        </w:rPr>
        <w:t>表示删除，红色加粗表示修改前，黑色加粗表示修改后或新增）</w:t>
      </w:r>
    </w:p>
    <w:tbl>
      <w:tblPr>
        <w:tblW w:w="13043" w:type="dxa"/>
        <w:jc w:val="center"/>
        <w:tblInd w:w="-28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6347"/>
        <w:gridCol w:w="6696"/>
      </w:tblGrid>
      <w:tr w:rsidR="00852AB5" w:rsidRPr="00B902D6" w:rsidTr="00852AB5">
        <w:trPr>
          <w:jc w:val="center"/>
        </w:trPr>
        <w:tc>
          <w:tcPr>
            <w:tcW w:w="6347" w:type="dxa"/>
          </w:tcPr>
          <w:p w:rsidR="00852AB5" w:rsidRPr="00B902D6" w:rsidRDefault="00852AB5" w:rsidP="006D7B82">
            <w:pPr>
              <w:jc w:val="center"/>
              <w:rPr>
                <w:rFonts w:ascii="黑体" w:eastAsia="黑体" w:hAnsi="黑体"/>
              </w:rPr>
            </w:pPr>
            <w:r w:rsidRPr="00B902D6">
              <w:rPr>
                <w:rFonts w:ascii="黑体" w:eastAsia="黑体" w:hAnsi="黑体" w:cs="宋体" w:hint="eastAsia"/>
                <w:b/>
                <w:color w:val="000000"/>
                <w:kern w:val="0"/>
                <w:sz w:val="22"/>
              </w:rPr>
              <w:t>原《办法》</w:t>
            </w:r>
          </w:p>
        </w:tc>
        <w:tc>
          <w:tcPr>
            <w:tcW w:w="6696" w:type="dxa"/>
          </w:tcPr>
          <w:p w:rsidR="00852AB5" w:rsidRPr="00B902D6" w:rsidRDefault="00852AB5" w:rsidP="006D7B82">
            <w:pPr>
              <w:jc w:val="center"/>
              <w:rPr>
                <w:rFonts w:ascii="黑体" w:eastAsia="黑体" w:hAnsi="黑体"/>
              </w:rPr>
            </w:pPr>
            <w:r w:rsidRPr="00B902D6">
              <w:rPr>
                <w:rFonts w:ascii="黑体" w:eastAsia="黑体" w:hAnsi="黑体" w:cs="宋体" w:hint="eastAsia"/>
                <w:b/>
                <w:color w:val="000000"/>
                <w:kern w:val="0"/>
                <w:sz w:val="22"/>
              </w:rPr>
              <w:t>修订稿</w:t>
            </w:r>
          </w:p>
        </w:tc>
      </w:tr>
      <w:tr w:rsidR="00852AB5" w:rsidTr="00852AB5">
        <w:trPr>
          <w:jc w:val="center"/>
        </w:trPr>
        <w:tc>
          <w:tcPr>
            <w:tcW w:w="6347" w:type="dxa"/>
          </w:tcPr>
          <w:p w:rsidR="00852AB5" w:rsidRDefault="00852AB5" w:rsidP="006D7B82">
            <w:pPr>
              <w:jc w:val="center"/>
              <w:rPr>
                <w:rFonts w:ascii="宋体" w:hAnsi="宋体" w:cs="宋体"/>
                <w:b/>
                <w:color w:val="000000"/>
                <w:kern w:val="0"/>
                <w:sz w:val="22"/>
              </w:rPr>
            </w:pPr>
            <w:r>
              <w:rPr>
                <w:rFonts w:ascii="宋体" w:hAnsi="宋体" w:cs="宋体" w:hint="eastAsia"/>
                <w:b/>
                <w:color w:val="000000"/>
                <w:kern w:val="0"/>
                <w:sz w:val="22"/>
              </w:rPr>
              <w:t>目录</w:t>
            </w:r>
          </w:p>
        </w:tc>
        <w:tc>
          <w:tcPr>
            <w:tcW w:w="6696" w:type="dxa"/>
          </w:tcPr>
          <w:p w:rsidR="00852AB5" w:rsidRDefault="00852AB5" w:rsidP="006D7B82">
            <w:pPr>
              <w:jc w:val="center"/>
              <w:rPr>
                <w:rFonts w:ascii="宋体" w:hAnsi="宋体" w:cs="宋体"/>
                <w:b/>
                <w:color w:val="000000"/>
                <w:kern w:val="0"/>
                <w:sz w:val="22"/>
              </w:rPr>
            </w:pPr>
            <w:r>
              <w:rPr>
                <w:rFonts w:ascii="宋体" w:hAnsi="宋体" w:cs="宋体" w:hint="eastAsia"/>
                <w:b/>
                <w:color w:val="000000"/>
                <w:kern w:val="0"/>
                <w:sz w:val="22"/>
              </w:rPr>
              <w:t>目录</w:t>
            </w:r>
          </w:p>
        </w:tc>
      </w:tr>
      <w:tr w:rsidR="00852AB5" w:rsidTr="00852AB5">
        <w:trPr>
          <w:jc w:val="center"/>
        </w:trPr>
        <w:tc>
          <w:tcPr>
            <w:tcW w:w="6347" w:type="dxa"/>
          </w:tcPr>
          <w:p w:rsidR="00852AB5" w:rsidRDefault="00852AB5" w:rsidP="006D7B82">
            <w:pPr>
              <w:rPr>
                <w:rFonts w:ascii="宋体" w:hAnsi="宋体"/>
                <w:szCs w:val="21"/>
              </w:rPr>
            </w:pPr>
            <w:r>
              <w:rPr>
                <w:rFonts w:ascii="宋体" w:hAnsi="宋体" w:hint="eastAsia"/>
                <w:szCs w:val="21"/>
              </w:rPr>
              <w:t>第一章 总则（4条）</w:t>
            </w:r>
          </w:p>
        </w:tc>
        <w:tc>
          <w:tcPr>
            <w:tcW w:w="6696" w:type="dxa"/>
          </w:tcPr>
          <w:p w:rsidR="00852AB5" w:rsidRDefault="00852AB5" w:rsidP="006D7B82">
            <w:pPr>
              <w:rPr>
                <w:rFonts w:ascii="宋体" w:hAnsi="宋体"/>
                <w:szCs w:val="21"/>
              </w:rPr>
            </w:pPr>
            <w:r>
              <w:rPr>
                <w:rFonts w:ascii="宋体" w:hAnsi="宋体" w:hint="eastAsia"/>
                <w:szCs w:val="21"/>
              </w:rPr>
              <w:t>第一章 总则（4条）</w:t>
            </w:r>
          </w:p>
        </w:tc>
      </w:tr>
      <w:tr w:rsidR="00852AB5" w:rsidTr="00852AB5">
        <w:trPr>
          <w:jc w:val="center"/>
        </w:trPr>
        <w:tc>
          <w:tcPr>
            <w:tcW w:w="6347" w:type="dxa"/>
          </w:tcPr>
          <w:p w:rsidR="00852AB5" w:rsidRDefault="00852AB5" w:rsidP="006D7B82">
            <w:pPr>
              <w:rPr>
                <w:rFonts w:ascii="宋体" w:hAnsi="宋体"/>
                <w:szCs w:val="21"/>
              </w:rPr>
            </w:pPr>
            <w:r>
              <w:rPr>
                <w:rFonts w:ascii="宋体" w:hAnsi="宋体" w:hint="eastAsia"/>
                <w:szCs w:val="21"/>
              </w:rPr>
              <w:t>第二章 投资者适当性标准（8条）</w:t>
            </w:r>
          </w:p>
        </w:tc>
        <w:tc>
          <w:tcPr>
            <w:tcW w:w="6696" w:type="dxa"/>
          </w:tcPr>
          <w:p w:rsidR="00852AB5" w:rsidRDefault="00852AB5" w:rsidP="006D7B82">
            <w:pPr>
              <w:rPr>
                <w:rFonts w:ascii="宋体" w:hAnsi="宋体"/>
                <w:szCs w:val="21"/>
              </w:rPr>
            </w:pPr>
            <w:r>
              <w:rPr>
                <w:rFonts w:ascii="宋体" w:hAnsi="宋体" w:hint="eastAsia"/>
                <w:szCs w:val="21"/>
              </w:rPr>
              <w:t>第二章 投资者适当性标准</w:t>
            </w:r>
            <w:r w:rsidRPr="00A66098">
              <w:rPr>
                <w:rFonts w:ascii="宋体" w:hAnsi="宋体" w:hint="eastAsia"/>
                <w:szCs w:val="21"/>
              </w:rPr>
              <w:t>（</w:t>
            </w:r>
            <w:r>
              <w:rPr>
                <w:rFonts w:ascii="宋体" w:hAnsi="宋体" w:hint="eastAsia"/>
                <w:szCs w:val="21"/>
              </w:rPr>
              <w:t>8</w:t>
            </w:r>
            <w:r w:rsidRPr="00A66098">
              <w:rPr>
                <w:rFonts w:ascii="宋体" w:hAnsi="宋体" w:hint="eastAsia"/>
                <w:szCs w:val="21"/>
              </w:rPr>
              <w:t>条）</w:t>
            </w:r>
          </w:p>
        </w:tc>
      </w:tr>
      <w:tr w:rsidR="00852AB5" w:rsidTr="00852AB5">
        <w:trPr>
          <w:jc w:val="center"/>
        </w:trPr>
        <w:tc>
          <w:tcPr>
            <w:tcW w:w="6347" w:type="dxa"/>
          </w:tcPr>
          <w:p w:rsidR="00852AB5" w:rsidRDefault="00852AB5" w:rsidP="006D7B82">
            <w:pPr>
              <w:rPr>
                <w:rFonts w:ascii="宋体" w:hAnsi="宋体"/>
                <w:szCs w:val="21"/>
              </w:rPr>
            </w:pPr>
            <w:r>
              <w:rPr>
                <w:rFonts w:ascii="宋体" w:hAnsi="宋体" w:hint="eastAsia"/>
                <w:szCs w:val="21"/>
              </w:rPr>
              <w:t>第三章 投资者适当性管理（11条）</w:t>
            </w:r>
          </w:p>
        </w:tc>
        <w:tc>
          <w:tcPr>
            <w:tcW w:w="6696" w:type="dxa"/>
          </w:tcPr>
          <w:p w:rsidR="00852AB5" w:rsidRDefault="00852AB5" w:rsidP="006D7B82">
            <w:pPr>
              <w:rPr>
                <w:rFonts w:ascii="宋体" w:hAnsi="宋体"/>
                <w:szCs w:val="21"/>
              </w:rPr>
            </w:pPr>
            <w:r>
              <w:rPr>
                <w:rFonts w:ascii="宋体" w:hAnsi="宋体" w:hint="eastAsia"/>
                <w:szCs w:val="21"/>
              </w:rPr>
              <w:t>第三章 投资者适当性管理（15条）</w:t>
            </w:r>
          </w:p>
        </w:tc>
      </w:tr>
      <w:tr w:rsidR="00852AB5" w:rsidTr="00852AB5">
        <w:trPr>
          <w:jc w:val="center"/>
        </w:trPr>
        <w:tc>
          <w:tcPr>
            <w:tcW w:w="6347" w:type="dxa"/>
          </w:tcPr>
          <w:p w:rsidR="00852AB5" w:rsidRDefault="00852AB5" w:rsidP="006D7B82">
            <w:pPr>
              <w:rPr>
                <w:rFonts w:ascii="宋体" w:hAnsi="宋体"/>
                <w:szCs w:val="21"/>
              </w:rPr>
            </w:pPr>
            <w:r>
              <w:rPr>
                <w:rFonts w:ascii="宋体" w:hAnsi="宋体" w:hint="eastAsia"/>
                <w:szCs w:val="21"/>
              </w:rPr>
              <w:t>第四章 附则（3条）</w:t>
            </w:r>
          </w:p>
        </w:tc>
        <w:tc>
          <w:tcPr>
            <w:tcW w:w="6696" w:type="dxa"/>
          </w:tcPr>
          <w:p w:rsidR="00852AB5" w:rsidRDefault="00852AB5" w:rsidP="006D7B82">
            <w:pPr>
              <w:rPr>
                <w:rFonts w:ascii="宋体" w:hAnsi="宋体"/>
                <w:szCs w:val="21"/>
              </w:rPr>
            </w:pPr>
            <w:r>
              <w:rPr>
                <w:rFonts w:ascii="宋体" w:hAnsi="宋体" w:hint="eastAsia"/>
                <w:szCs w:val="21"/>
              </w:rPr>
              <w:t>第四章 附则（3条）</w:t>
            </w:r>
          </w:p>
        </w:tc>
      </w:tr>
      <w:tr w:rsidR="00852AB5" w:rsidTr="00852AB5">
        <w:trPr>
          <w:jc w:val="center"/>
        </w:trPr>
        <w:tc>
          <w:tcPr>
            <w:tcW w:w="6347" w:type="dxa"/>
          </w:tcPr>
          <w:p w:rsidR="00852AB5" w:rsidRDefault="00852AB5" w:rsidP="006D7B82">
            <w:pPr>
              <w:jc w:val="center"/>
              <w:rPr>
                <w:rFonts w:ascii="宋体" w:hAnsi="宋体"/>
                <w:b/>
                <w:szCs w:val="21"/>
              </w:rPr>
            </w:pPr>
            <w:r>
              <w:rPr>
                <w:rFonts w:ascii="宋体" w:hAnsi="宋体" w:hint="eastAsia"/>
                <w:b/>
                <w:szCs w:val="21"/>
              </w:rPr>
              <w:t>共26条</w:t>
            </w:r>
          </w:p>
        </w:tc>
        <w:tc>
          <w:tcPr>
            <w:tcW w:w="6696" w:type="dxa"/>
          </w:tcPr>
          <w:p w:rsidR="00852AB5" w:rsidRDefault="00852AB5" w:rsidP="006D7B82">
            <w:pPr>
              <w:jc w:val="center"/>
              <w:rPr>
                <w:rFonts w:ascii="宋体" w:hAnsi="宋体"/>
                <w:b/>
                <w:szCs w:val="21"/>
              </w:rPr>
            </w:pPr>
            <w:r>
              <w:rPr>
                <w:rFonts w:ascii="宋体" w:hAnsi="宋体" w:hint="eastAsia"/>
                <w:b/>
                <w:szCs w:val="21"/>
              </w:rPr>
              <w:t>共3</w:t>
            </w:r>
            <w:r w:rsidR="00C55C47">
              <w:rPr>
                <w:rFonts w:ascii="宋体" w:hAnsi="宋体" w:hint="eastAsia"/>
                <w:b/>
                <w:szCs w:val="21"/>
              </w:rPr>
              <w:t>0</w:t>
            </w:r>
            <w:r>
              <w:rPr>
                <w:rFonts w:ascii="宋体" w:hAnsi="宋体" w:hint="eastAsia"/>
                <w:b/>
                <w:szCs w:val="21"/>
              </w:rPr>
              <w:t>条</w:t>
            </w:r>
          </w:p>
        </w:tc>
      </w:tr>
      <w:tr w:rsidR="00852AB5" w:rsidTr="00852AB5">
        <w:trPr>
          <w:jc w:val="center"/>
        </w:trPr>
        <w:tc>
          <w:tcPr>
            <w:tcW w:w="6347" w:type="dxa"/>
          </w:tcPr>
          <w:p w:rsidR="00852AB5" w:rsidRDefault="00852AB5" w:rsidP="006D7B82">
            <w:pPr>
              <w:jc w:val="center"/>
              <w:rPr>
                <w:rFonts w:ascii="宋体" w:hAnsi="宋体"/>
                <w:b/>
                <w:bCs/>
                <w:szCs w:val="21"/>
              </w:rPr>
            </w:pPr>
            <w:r>
              <w:rPr>
                <w:rFonts w:ascii="宋体" w:hAnsi="宋体" w:hint="eastAsia"/>
                <w:b/>
                <w:bCs/>
                <w:szCs w:val="21"/>
              </w:rPr>
              <w:t>第一章  总则</w:t>
            </w:r>
          </w:p>
        </w:tc>
        <w:tc>
          <w:tcPr>
            <w:tcW w:w="6696" w:type="dxa"/>
          </w:tcPr>
          <w:p w:rsidR="00852AB5" w:rsidRDefault="00852AB5" w:rsidP="006D7B82">
            <w:pPr>
              <w:jc w:val="center"/>
              <w:rPr>
                <w:rFonts w:ascii="宋体" w:hAnsi="宋体"/>
                <w:b/>
                <w:bCs/>
                <w:szCs w:val="21"/>
              </w:rPr>
            </w:pPr>
            <w:r>
              <w:rPr>
                <w:rFonts w:ascii="宋体" w:hAnsi="宋体" w:hint="eastAsia"/>
                <w:b/>
                <w:bCs/>
                <w:szCs w:val="21"/>
              </w:rPr>
              <w:t>第一章  总则</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第一条 为保护投资者合法权益，引导投资者理性参与债券市场，促进债券市场健康稳定发展，根据</w:t>
            </w:r>
            <w:r>
              <w:rPr>
                <w:rFonts w:ascii="宋体" w:hAnsi="宋体" w:hint="eastAsia"/>
                <w:szCs w:val="21"/>
                <w:highlight w:val="lightGray"/>
              </w:rPr>
              <w:t>国家相关</w:t>
            </w:r>
            <w:r>
              <w:rPr>
                <w:rFonts w:ascii="宋体" w:hAnsi="宋体" w:hint="eastAsia"/>
                <w:szCs w:val="21"/>
              </w:rPr>
              <w:t>法律、行政法规、规章及上海证券交易所（以下简称本所）相关业务规则，制定本办法。</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第一条 为保护投资者合法权益，引导投资者理性参与债券市场，促进债券市场健康稳定发展，根据</w:t>
            </w:r>
            <w:r>
              <w:rPr>
                <w:rFonts w:ascii="宋体" w:hAnsi="宋体" w:hint="eastAsia"/>
                <w:b/>
                <w:bCs/>
                <w:szCs w:val="21"/>
              </w:rPr>
              <w:t>《中华人民共和国证券法》《证券期货投资者适当性管理办法》《公司债券发行与交易管理办法》（以下分别简称《证券法》《投资者适当性管理办法》《公司债券管理办法》）等</w:t>
            </w:r>
            <w:r>
              <w:rPr>
                <w:rFonts w:ascii="宋体" w:hAnsi="宋体" w:hint="eastAsia"/>
                <w:szCs w:val="21"/>
              </w:rPr>
              <w:t>法律、行政法规、</w:t>
            </w:r>
            <w:r>
              <w:rPr>
                <w:rFonts w:ascii="宋体" w:hAnsi="宋体" w:hint="eastAsia"/>
                <w:b/>
                <w:bCs/>
                <w:szCs w:val="21"/>
              </w:rPr>
              <w:t>部门</w:t>
            </w:r>
            <w:r>
              <w:rPr>
                <w:rFonts w:ascii="宋体" w:hAnsi="宋体" w:hint="eastAsia"/>
                <w:szCs w:val="21"/>
              </w:rPr>
              <w:t>规章、</w:t>
            </w:r>
            <w:r>
              <w:rPr>
                <w:rFonts w:ascii="宋体" w:hAnsi="宋体" w:hint="eastAsia"/>
                <w:b/>
                <w:bCs/>
                <w:szCs w:val="21"/>
              </w:rPr>
              <w:t>规范性文件</w:t>
            </w:r>
            <w:r>
              <w:rPr>
                <w:rFonts w:ascii="宋体" w:hAnsi="宋体" w:hint="eastAsia"/>
                <w:szCs w:val="21"/>
              </w:rPr>
              <w:t>及上海证券交易所（以下简称本所）相关业务规则，制定本办法。</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第二条 本办法所称债券市场投资者适当性管理，是指对不同特征和风险水平的公司债券、企业债券、资产支持证券等（以下统称</w:t>
            </w:r>
            <w:r>
              <w:rPr>
                <w:rFonts w:ascii="宋体" w:hAnsi="宋体" w:hint="eastAsia"/>
                <w:szCs w:val="21"/>
              </w:rPr>
              <w:lastRenderedPageBreak/>
              <w:t>债券）的发行认购、上市交易及挂牌转让做出分类，并区别不同产品风险和风险承受能力的投资者，引导其参与相应类型债券认购、交易及转让的制度安排。</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lastRenderedPageBreak/>
              <w:t>第二条 本办法所称债券市场投资者适当性管理，是指对不同特征和风险水平的公司债券、企业债券、资产支持证券等（以下统称债券）</w:t>
            </w:r>
            <w:r>
              <w:rPr>
                <w:rFonts w:ascii="宋体" w:hAnsi="宋体" w:hint="eastAsia"/>
                <w:szCs w:val="21"/>
              </w:rPr>
              <w:lastRenderedPageBreak/>
              <w:t>的发行认购、上市交易及挂牌转让做出分类，并区别不同产品风险和风险承受能力的投资者，引导其参与相应类型债券认购、交易及转让</w:t>
            </w:r>
            <w:r>
              <w:rPr>
                <w:rFonts w:ascii="宋体" w:hAnsi="宋体" w:hint="eastAsia"/>
                <w:b/>
                <w:bCs/>
                <w:szCs w:val="21"/>
              </w:rPr>
              <w:t>（以下统称交易）</w:t>
            </w:r>
            <w:r>
              <w:rPr>
                <w:rFonts w:ascii="宋体" w:hAnsi="宋体" w:hint="eastAsia"/>
                <w:szCs w:val="21"/>
              </w:rPr>
              <w:t>的制度安排。</w:t>
            </w:r>
          </w:p>
          <w:p w:rsidR="00852AB5" w:rsidRPr="009F3321" w:rsidRDefault="00852AB5" w:rsidP="006D7B82">
            <w:pPr>
              <w:ind w:firstLineChars="200" w:firstLine="422"/>
              <w:rPr>
                <w:rFonts w:ascii="宋体" w:hAnsi="宋体"/>
                <w:szCs w:val="21"/>
              </w:rPr>
            </w:pPr>
            <w:r>
              <w:rPr>
                <w:rFonts w:ascii="宋体" w:hAnsi="宋体" w:hint="eastAsia"/>
                <w:b/>
                <w:szCs w:val="21"/>
              </w:rPr>
              <w:t>本所上市公司向不特定对象发行的可转换公司债券，以及向特定对象发行的可转换公司债券的投资者适当性管理，由相关业务规则另行规定。</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lastRenderedPageBreak/>
              <w:t>第三条 从事债券经纪业务的本所会员、债券承销机构和其他证券经营机构（以下统称证券经营机构）应当了解和评估客户的风险识别与承受能力，建立以分类管理为核心的客户管理和服务制度，选择适当的投资者参与相应类型的债券认购、交易及转让</w:t>
            </w:r>
            <w:r>
              <w:rPr>
                <w:rFonts w:ascii="宋体" w:hAnsi="宋体" w:hint="eastAsia"/>
                <w:szCs w:val="21"/>
                <w:highlight w:val="lightGray"/>
              </w:rPr>
              <w:t>（以下简称交易），</w:t>
            </w:r>
            <w:r>
              <w:rPr>
                <w:rFonts w:ascii="宋体" w:hAnsi="宋体" w:hint="eastAsia"/>
                <w:szCs w:val="21"/>
              </w:rPr>
              <w:t>切实履行投资者适当性管理职责。</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第三条 从事债券经纪业务的本所会员、债券承销机构和其他证券经营机构（以下统称证券经营机构）应当了解和评估客户的风险识别与承受能力，建立以分类管理为核心的客户管理和服务制度，选择适当的投资者参与相应类型的债券认购、交易，切实履行投资者适当性管理职责。</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第四条 投资者参与本所债券市场，应当全面评估自身的经济实力、产品风险识别能力、风险控制与承受能力，进行独立的投资判断，知悉并自行承担债券市场投资风险。</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第四条 投资者参与本所债券市场，应当全面评估自身的经济实力、产品风险识别能力、风险控制与承受能力，进行独立的投资判断，知悉并自行承担债券市场投资风险。</w:t>
            </w:r>
          </w:p>
        </w:tc>
      </w:tr>
      <w:tr w:rsidR="00852AB5" w:rsidTr="00852AB5">
        <w:trPr>
          <w:jc w:val="center"/>
        </w:trPr>
        <w:tc>
          <w:tcPr>
            <w:tcW w:w="6347" w:type="dxa"/>
          </w:tcPr>
          <w:p w:rsidR="00852AB5" w:rsidRDefault="00852AB5" w:rsidP="006D7B82">
            <w:pPr>
              <w:ind w:firstLineChars="200" w:firstLine="422"/>
              <w:rPr>
                <w:rFonts w:ascii="宋体" w:hAnsi="宋体"/>
                <w:b/>
                <w:bCs/>
                <w:szCs w:val="21"/>
              </w:rPr>
            </w:pPr>
            <w:r>
              <w:rPr>
                <w:rFonts w:ascii="宋体" w:hAnsi="宋体" w:hint="eastAsia"/>
                <w:b/>
                <w:bCs/>
                <w:szCs w:val="21"/>
              </w:rPr>
              <w:t>第二章 投资者适当性标准</w:t>
            </w:r>
          </w:p>
        </w:tc>
        <w:tc>
          <w:tcPr>
            <w:tcW w:w="6696" w:type="dxa"/>
          </w:tcPr>
          <w:p w:rsidR="00852AB5" w:rsidRDefault="00852AB5" w:rsidP="006D7B82">
            <w:pPr>
              <w:ind w:firstLineChars="200" w:firstLine="422"/>
              <w:rPr>
                <w:rFonts w:ascii="宋体" w:hAnsi="宋体"/>
                <w:b/>
                <w:bCs/>
                <w:szCs w:val="21"/>
              </w:rPr>
            </w:pPr>
            <w:r>
              <w:rPr>
                <w:rFonts w:ascii="宋体" w:hAnsi="宋体" w:hint="eastAsia"/>
                <w:b/>
                <w:bCs/>
                <w:szCs w:val="21"/>
              </w:rPr>
              <w:t>第二章 投资者适当性标准</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第五条 债券市场投资者</w:t>
            </w:r>
            <w:r>
              <w:rPr>
                <w:rFonts w:ascii="宋体" w:hAnsi="宋体" w:hint="eastAsia"/>
                <w:szCs w:val="21"/>
                <w:highlight w:val="lightGray"/>
              </w:rPr>
              <w:t>按照产品风险识别能力和风险承受能力，</w:t>
            </w:r>
            <w:r>
              <w:rPr>
                <w:rFonts w:ascii="宋体" w:hAnsi="宋体" w:hint="eastAsia"/>
                <w:szCs w:val="21"/>
              </w:rPr>
              <w:t>分为</w:t>
            </w:r>
            <w:r>
              <w:rPr>
                <w:rFonts w:ascii="宋体" w:hAnsi="宋体" w:hint="eastAsia"/>
                <w:b/>
                <w:bCs/>
                <w:color w:val="FF0000"/>
                <w:szCs w:val="21"/>
              </w:rPr>
              <w:t>合格</w:t>
            </w:r>
            <w:r>
              <w:rPr>
                <w:rFonts w:ascii="宋体" w:hAnsi="宋体" w:hint="eastAsia"/>
                <w:szCs w:val="21"/>
              </w:rPr>
              <w:t>投资者和</w:t>
            </w:r>
            <w:r>
              <w:rPr>
                <w:rFonts w:ascii="宋体" w:hAnsi="宋体" w:hint="eastAsia"/>
                <w:b/>
                <w:bCs/>
                <w:color w:val="FF0000"/>
                <w:szCs w:val="21"/>
              </w:rPr>
              <w:t>公众</w:t>
            </w:r>
            <w:r>
              <w:rPr>
                <w:rFonts w:ascii="宋体" w:hAnsi="宋体" w:hint="eastAsia"/>
                <w:szCs w:val="21"/>
              </w:rPr>
              <w:t>投资者。</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第五条 债券市场投资者</w:t>
            </w:r>
            <w:r w:rsidRPr="00CB149B">
              <w:rPr>
                <w:rFonts w:ascii="宋体" w:hAnsi="宋体" w:hint="eastAsia"/>
                <w:b/>
                <w:bCs/>
                <w:szCs w:val="21"/>
              </w:rPr>
              <w:t>按照财产状况、金融资产状况、投资知识和经验、专业能力等因素，</w:t>
            </w:r>
            <w:r>
              <w:rPr>
                <w:rFonts w:ascii="宋体" w:hAnsi="宋体" w:hint="eastAsia"/>
                <w:szCs w:val="21"/>
              </w:rPr>
              <w:t>分为</w:t>
            </w:r>
            <w:r>
              <w:rPr>
                <w:rFonts w:ascii="宋体" w:hAnsi="宋体" w:hint="eastAsia"/>
                <w:b/>
                <w:bCs/>
                <w:szCs w:val="21"/>
              </w:rPr>
              <w:t>专业</w:t>
            </w:r>
            <w:r>
              <w:rPr>
                <w:rFonts w:ascii="宋体" w:hAnsi="宋体" w:hint="eastAsia"/>
                <w:szCs w:val="21"/>
              </w:rPr>
              <w:t>投资者和</w:t>
            </w:r>
            <w:r>
              <w:rPr>
                <w:rFonts w:ascii="宋体" w:hAnsi="宋体" w:hint="eastAsia"/>
                <w:b/>
                <w:bCs/>
                <w:szCs w:val="21"/>
              </w:rPr>
              <w:t>普通</w:t>
            </w:r>
            <w:r>
              <w:rPr>
                <w:rFonts w:ascii="宋体" w:hAnsi="宋体" w:hint="eastAsia"/>
                <w:szCs w:val="21"/>
              </w:rPr>
              <w:t>投资者。</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 xml:space="preserve">第六条 </w:t>
            </w:r>
            <w:r>
              <w:rPr>
                <w:rFonts w:ascii="宋体" w:hAnsi="宋体" w:cs="宋体" w:hint="eastAsia"/>
                <w:b/>
                <w:bCs/>
                <w:color w:val="FF0000"/>
                <w:kern w:val="0"/>
                <w:szCs w:val="21"/>
              </w:rPr>
              <w:t>合格</w:t>
            </w:r>
            <w:r>
              <w:rPr>
                <w:rFonts w:ascii="宋体" w:hAnsi="宋体" w:cs="宋体" w:hint="eastAsia"/>
                <w:color w:val="000000"/>
                <w:kern w:val="0"/>
                <w:szCs w:val="21"/>
              </w:rPr>
              <w:t>投资者应当符合下列条件：</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一）经有关金融监管部门批准设立的金融机构，包括证券公司、期货公司、基金管理公司及其子公司、商业银行、保险公司、信托公司、财务公司等；经行业协会备案或者登记的证券公司子公司、期货公司子公司、私募基金管理人。</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（二）上述机构面向投资者发行的理财产品，包括但不限于证券公司资产管理产品、基金管理公司及其子公司产品、期货公司资产管理产品、银行理财产品、保险产品、信托产品、经行业协会备案的私募基金。</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（三）社会保障基金、企业年金等养老基金，慈善基金等社会公益基金，合格境外机构投资者（QFII）、人民币合格境外机构投资者（RQFII）。</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（四）同时符合下列条件的法人或者其他组织：</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1.最近1年末净资产不低于2000万元；</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2.最近1年末金融资产不低于1000万元；</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3.具有2年以上证券、基金、期货、黄金、外汇等投资经历。</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（五）同时符合下列条件的个人：</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1.申请资格认定前20个交易日名下金融资产日均不低于500万元，或者最近3年个人年均收入不低于50万元；</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2.具有2年以上证券、基金、期货、黄金、外汇等投资经历，或者具有2年以上金融产品设计、投资、风险管理及相关工作经历，或者属于本条第（一）项规定的合格投资者的高级管理人员、获得职业资格认证的从事金融相关业务的注册会计师和律师。</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（六）中国证监会和本所认可的其他投资者。</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前款所称金融资产，是指银行存款、股票、债券、基金份额、资产管理计划、银行理财产品、信托计划、保险产品、期货及其他衍生产品等。及其他衍生产品等。</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lastRenderedPageBreak/>
              <w:t xml:space="preserve">第六条 </w:t>
            </w:r>
            <w:r>
              <w:rPr>
                <w:rFonts w:ascii="宋体" w:hAnsi="宋体" w:hint="eastAsia"/>
                <w:b/>
                <w:bCs/>
                <w:szCs w:val="21"/>
              </w:rPr>
              <w:t>专业</w:t>
            </w:r>
            <w:r>
              <w:rPr>
                <w:rFonts w:ascii="宋体" w:hAnsi="宋体" w:hint="eastAsia"/>
                <w:szCs w:val="21"/>
              </w:rPr>
              <w:t>投资者应当符合下列条件：</w:t>
            </w:r>
          </w:p>
          <w:p w:rsidR="00852AB5" w:rsidRDefault="00852AB5" w:rsidP="006D7B82">
            <w:pPr>
              <w:ind w:firstLineChars="200" w:firstLine="420"/>
              <w:rPr>
                <w:rFonts w:ascii="宋体" w:hAnsi="宋体"/>
                <w:szCs w:val="21"/>
              </w:rPr>
            </w:pPr>
            <w:r>
              <w:rPr>
                <w:rFonts w:ascii="宋体" w:hAnsi="宋体" w:hint="eastAsia"/>
                <w:szCs w:val="21"/>
              </w:rPr>
              <w:t>（一）经有关金融监管部门批准设立的金融机构，包括证券公司、期货公司、基金管理公司及其子公司、商业银行</w:t>
            </w:r>
            <w:r>
              <w:rPr>
                <w:rFonts w:ascii="宋体" w:hAnsi="宋体" w:hint="eastAsia"/>
                <w:b/>
                <w:bCs/>
                <w:szCs w:val="21"/>
              </w:rPr>
              <w:t>及其理财子公司</w:t>
            </w:r>
            <w:r>
              <w:rPr>
                <w:rFonts w:ascii="宋体" w:hAnsi="宋体" w:hint="eastAsia"/>
                <w:szCs w:val="21"/>
              </w:rPr>
              <w:t>、保险公司、信托公司、财务公司等；经行业协会备案或者登记的证券公司子公司、期货公司子公司、私募基金管理人。</w:t>
            </w:r>
          </w:p>
          <w:p w:rsidR="00852AB5" w:rsidRDefault="00852AB5" w:rsidP="006D7B82">
            <w:pPr>
              <w:ind w:firstLineChars="200" w:firstLine="420"/>
              <w:rPr>
                <w:rFonts w:ascii="宋体" w:hAnsi="宋体"/>
                <w:szCs w:val="21"/>
              </w:rPr>
            </w:pPr>
            <w:r>
              <w:rPr>
                <w:rFonts w:ascii="宋体" w:hAnsi="宋体" w:hint="eastAsia"/>
                <w:szCs w:val="21"/>
              </w:rPr>
              <w:t>（二）上述机构面向投资者发行的理财产品，包括但不限于证券公司资产管理产品、基金管理公司及其子公司产品、期货公司资产管理产品、银行理财产品、保险产品、信托产品、经行业协会备案的私募基金。</w:t>
            </w:r>
          </w:p>
          <w:p w:rsidR="00852AB5" w:rsidRDefault="00852AB5" w:rsidP="006D7B82">
            <w:pPr>
              <w:ind w:firstLineChars="200" w:firstLine="420"/>
              <w:rPr>
                <w:rFonts w:ascii="宋体" w:hAnsi="宋体"/>
                <w:szCs w:val="21"/>
              </w:rPr>
            </w:pPr>
            <w:r>
              <w:rPr>
                <w:rFonts w:ascii="宋体" w:hAnsi="宋体" w:hint="eastAsia"/>
                <w:szCs w:val="21"/>
              </w:rPr>
              <w:t>（三）社会保障基金、企业年金等养老基金，慈善基金等社会公益</w:t>
            </w:r>
            <w:r>
              <w:rPr>
                <w:rFonts w:ascii="宋体" w:hAnsi="宋体" w:hint="eastAsia"/>
                <w:szCs w:val="21"/>
              </w:rPr>
              <w:lastRenderedPageBreak/>
              <w:t>基金，合格境外机构投资者（QFII）、人民币合格境外机构投资者（RQFII）。</w:t>
            </w:r>
          </w:p>
          <w:p w:rsidR="00852AB5" w:rsidRDefault="00852AB5" w:rsidP="006D7B82">
            <w:pPr>
              <w:ind w:firstLineChars="200" w:firstLine="420"/>
              <w:rPr>
                <w:rFonts w:ascii="宋体" w:hAnsi="宋体"/>
                <w:szCs w:val="21"/>
              </w:rPr>
            </w:pPr>
            <w:r>
              <w:rPr>
                <w:rFonts w:ascii="宋体" w:hAnsi="宋体" w:hint="eastAsia"/>
                <w:szCs w:val="21"/>
              </w:rPr>
              <w:t>（四）同时符合下列条件的法人或者其他组织：</w:t>
            </w:r>
          </w:p>
          <w:p w:rsidR="00852AB5" w:rsidRDefault="00852AB5" w:rsidP="006D7B82">
            <w:pPr>
              <w:ind w:firstLineChars="200" w:firstLine="420"/>
              <w:rPr>
                <w:rFonts w:ascii="宋体" w:hAnsi="宋体"/>
                <w:szCs w:val="21"/>
              </w:rPr>
            </w:pPr>
            <w:r>
              <w:rPr>
                <w:rFonts w:ascii="宋体" w:hAnsi="宋体" w:hint="eastAsia"/>
                <w:szCs w:val="21"/>
              </w:rPr>
              <w:t>1.最近1年末净资产不低于2000万元；</w:t>
            </w:r>
          </w:p>
          <w:p w:rsidR="00852AB5" w:rsidRDefault="00852AB5" w:rsidP="006D7B82">
            <w:pPr>
              <w:ind w:firstLineChars="200" w:firstLine="420"/>
              <w:rPr>
                <w:rFonts w:ascii="宋体" w:hAnsi="宋体"/>
                <w:szCs w:val="21"/>
              </w:rPr>
            </w:pPr>
            <w:r>
              <w:rPr>
                <w:rFonts w:ascii="宋体" w:hAnsi="宋体" w:hint="eastAsia"/>
                <w:szCs w:val="21"/>
              </w:rPr>
              <w:t>2.最近1年末金融资产不低于1000万元；</w:t>
            </w:r>
          </w:p>
          <w:p w:rsidR="00852AB5" w:rsidRDefault="00852AB5" w:rsidP="006D7B82">
            <w:pPr>
              <w:ind w:firstLineChars="200" w:firstLine="420"/>
              <w:rPr>
                <w:rFonts w:ascii="宋体" w:hAnsi="宋体"/>
                <w:szCs w:val="21"/>
              </w:rPr>
            </w:pPr>
            <w:r>
              <w:rPr>
                <w:rFonts w:ascii="宋体" w:hAnsi="宋体" w:hint="eastAsia"/>
                <w:szCs w:val="21"/>
              </w:rPr>
              <w:t>3.具有2年以上证券、基金、期货、黄金、外汇等投资经历。</w:t>
            </w:r>
          </w:p>
          <w:p w:rsidR="00852AB5" w:rsidRDefault="00852AB5" w:rsidP="006D7B82">
            <w:pPr>
              <w:ind w:firstLineChars="200" w:firstLine="420"/>
              <w:rPr>
                <w:rFonts w:ascii="宋体" w:hAnsi="宋体"/>
                <w:szCs w:val="21"/>
              </w:rPr>
            </w:pPr>
            <w:r>
              <w:rPr>
                <w:rFonts w:ascii="宋体" w:hAnsi="宋体" w:hint="eastAsia"/>
                <w:szCs w:val="21"/>
              </w:rPr>
              <w:t>（五）同时符合下列条件的个人：</w:t>
            </w:r>
          </w:p>
          <w:p w:rsidR="00852AB5" w:rsidRDefault="00852AB5" w:rsidP="006D7B82">
            <w:pPr>
              <w:ind w:firstLineChars="200" w:firstLine="420"/>
              <w:rPr>
                <w:rFonts w:ascii="宋体" w:hAnsi="宋体"/>
                <w:szCs w:val="21"/>
              </w:rPr>
            </w:pPr>
            <w:r>
              <w:rPr>
                <w:rFonts w:ascii="宋体" w:hAnsi="宋体" w:hint="eastAsia"/>
                <w:szCs w:val="21"/>
              </w:rPr>
              <w:t>1.申请资格认定前20个交易日名下金融资产日均不低于500万元，或者最近3年个人年均收入不低于50万元；</w:t>
            </w:r>
          </w:p>
          <w:p w:rsidR="00852AB5" w:rsidRDefault="00852AB5" w:rsidP="006D7B82">
            <w:pPr>
              <w:ind w:firstLineChars="200" w:firstLine="420"/>
              <w:rPr>
                <w:rFonts w:ascii="宋体" w:hAnsi="宋体"/>
                <w:szCs w:val="21"/>
              </w:rPr>
            </w:pPr>
            <w:r>
              <w:rPr>
                <w:rFonts w:ascii="宋体" w:hAnsi="宋体" w:hint="eastAsia"/>
                <w:szCs w:val="21"/>
              </w:rPr>
              <w:t xml:space="preserve">2.具有2年以上证券、基金、期货、黄金、外汇等投资经历，或者具有2年以上金融产品设计、投资、风险管理及相关工作经历，或者属于本条第（一）项规定的专业投资者的高级管理人员、获得职业资格认证的从事金融相关业务的注册会计师和律师。 </w:t>
            </w:r>
          </w:p>
          <w:p w:rsidR="00852AB5" w:rsidRDefault="00852AB5" w:rsidP="006D7B82">
            <w:pPr>
              <w:ind w:firstLineChars="200" w:firstLine="420"/>
              <w:rPr>
                <w:rFonts w:ascii="宋体" w:hAnsi="宋体"/>
                <w:szCs w:val="21"/>
              </w:rPr>
            </w:pPr>
            <w:r>
              <w:rPr>
                <w:rFonts w:ascii="宋体" w:hAnsi="宋体" w:hint="eastAsia"/>
                <w:szCs w:val="21"/>
              </w:rPr>
              <w:t>（六）中国证监会和本所认可的其他投资者。</w:t>
            </w:r>
          </w:p>
          <w:p w:rsidR="00852AB5" w:rsidRDefault="00852AB5" w:rsidP="006D7B82">
            <w:pPr>
              <w:ind w:firstLineChars="200" w:firstLine="420"/>
              <w:rPr>
                <w:rFonts w:ascii="宋体" w:hAnsi="宋体"/>
                <w:szCs w:val="21"/>
              </w:rPr>
            </w:pPr>
            <w:r>
              <w:rPr>
                <w:rFonts w:ascii="宋体" w:hAnsi="宋体" w:hint="eastAsia"/>
                <w:szCs w:val="21"/>
              </w:rPr>
              <w:t>前款所称金融资产，是指银行存款、股票、</w:t>
            </w:r>
            <w:r>
              <w:rPr>
                <w:rFonts w:ascii="宋体" w:hAnsi="宋体" w:hint="eastAsia"/>
                <w:b/>
                <w:bCs/>
                <w:szCs w:val="21"/>
              </w:rPr>
              <w:t>存托凭证、</w:t>
            </w:r>
            <w:r>
              <w:rPr>
                <w:rFonts w:ascii="宋体" w:hAnsi="宋体" w:hint="eastAsia"/>
                <w:szCs w:val="21"/>
              </w:rPr>
              <w:t>债券、基金份额、资产管理计划、银行理财产品、信托计划、保险产品、期货及其他衍生产品等。</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 xml:space="preserve">第七条 </w:t>
            </w:r>
            <w:r>
              <w:rPr>
                <w:rFonts w:ascii="宋体" w:hAnsi="宋体" w:cs="宋体" w:hint="eastAsia"/>
                <w:b/>
                <w:bCs/>
                <w:color w:val="FF0000"/>
                <w:kern w:val="0"/>
                <w:szCs w:val="21"/>
              </w:rPr>
              <w:t>合格</w:t>
            </w:r>
            <w:r>
              <w:rPr>
                <w:rFonts w:ascii="宋体" w:hAnsi="宋体" w:cs="宋体" w:hint="eastAsia"/>
                <w:color w:val="000000"/>
                <w:kern w:val="0"/>
                <w:szCs w:val="21"/>
              </w:rPr>
              <w:t>投资者之外的投资者为</w:t>
            </w:r>
            <w:r>
              <w:rPr>
                <w:rFonts w:ascii="宋体" w:hAnsi="宋体" w:cs="宋体" w:hint="eastAsia"/>
                <w:b/>
                <w:bCs/>
                <w:color w:val="FF0000"/>
                <w:kern w:val="0"/>
                <w:szCs w:val="21"/>
              </w:rPr>
              <w:t>公众</w:t>
            </w:r>
            <w:r>
              <w:rPr>
                <w:rFonts w:ascii="宋体" w:hAnsi="宋体" w:cs="宋体" w:hint="eastAsia"/>
                <w:color w:val="000000"/>
                <w:kern w:val="0"/>
                <w:szCs w:val="21"/>
              </w:rPr>
              <w:t>投资者。</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 xml:space="preserve">第七条 </w:t>
            </w:r>
            <w:r>
              <w:rPr>
                <w:rFonts w:ascii="宋体" w:hAnsi="宋体" w:hint="eastAsia"/>
                <w:b/>
                <w:bCs/>
                <w:szCs w:val="21"/>
              </w:rPr>
              <w:t>专业</w:t>
            </w:r>
            <w:r>
              <w:rPr>
                <w:rFonts w:ascii="宋体" w:hAnsi="宋体" w:hint="eastAsia"/>
                <w:szCs w:val="21"/>
              </w:rPr>
              <w:t>投资者之外的投资者为</w:t>
            </w:r>
            <w:r>
              <w:rPr>
                <w:rFonts w:ascii="宋体" w:hAnsi="宋体" w:hint="eastAsia"/>
                <w:b/>
                <w:bCs/>
                <w:szCs w:val="21"/>
              </w:rPr>
              <w:t>普通</w:t>
            </w:r>
            <w:r>
              <w:rPr>
                <w:rFonts w:ascii="宋体" w:hAnsi="宋体" w:hint="eastAsia"/>
                <w:szCs w:val="21"/>
              </w:rPr>
              <w:t>投资者。</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 xml:space="preserve">第八条 </w:t>
            </w:r>
            <w:r>
              <w:rPr>
                <w:rFonts w:ascii="宋体" w:hAnsi="宋体" w:cs="宋体" w:hint="eastAsia"/>
                <w:b/>
                <w:bCs/>
                <w:color w:val="FF0000"/>
                <w:kern w:val="0"/>
                <w:szCs w:val="21"/>
              </w:rPr>
              <w:t>合格</w:t>
            </w:r>
            <w:r>
              <w:rPr>
                <w:rFonts w:ascii="宋体" w:hAnsi="宋体" w:cs="宋体" w:hint="eastAsia"/>
                <w:color w:val="000000"/>
                <w:kern w:val="0"/>
                <w:szCs w:val="21"/>
              </w:rPr>
              <w:t>投资者可以认购及交易在本所上市交易或者挂牌转让的全部债券，但下列债券仅限</w:t>
            </w:r>
            <w:r>
              <w:rPr>
                <w:rFonts w:ascii="宋体" w:hAnsi="宋体" w:cs="宋体" w:hint="eastAsia"/>
                <w:b/>
                <w:bCs/>
                <w:color w:val="FF0000"/>
                <w:kern w:val="0"/>
                <w:szCs w:val="21"/>
              </w:rPr>
              <w:t>合格</w:t>
            </w:r>
            <w:r>
              <w:rPr>
                <w:rFonts w:ascii="宋体" w:hAnsi="宋体" w:cs="宋体" w:hint="eastAsia"/>
                <w:color w:val="000000"/>
                <w:kern w:val="0"/>
                <w:szCs w:val="21"/>
              </w:rPr>
              <w:t>投资者中的机构投资者认购及交易：</w:t>
            </w:r>
          </w:p>
          <w:p w:rsidR="00852AB5" w:rsidRPr="00C97858" w:rsidRDefault="00852AB5" w:rsidP="006D7B82">
            <w:pPr>
              <w:ind w:firstLineChars="200" w:firstLine="420"/>
              <w:rPr>
                <w:rFonts w:ascii="宋体" w:hAnsi="宋体" w:cs="宋体"/>
                <w:color w:val="000000"/>
                <w:kern w:val="0"/>
                <w:szCs w:val="21"/>
                <w:highlight w:val="lightGray"/>
              </w:rPr>
            </w:pPr>
            <w:r w:rsidRPr="00C97858">
              <w:rPr>
                <w:rFonts w:ascii="宋体" w:hAnsi="宋体" w:cs="宋体" w:hint="eastAsia"/>
                <w:color w:val="000000"/>
                <w:kern w:val="0"/>
                <w:szCs w:val="21"/>
              </w:rPr>
              <w:t>（一）</w:t>
            </w:r>
            <w:r w:rsidRPr="00C97858">
              <w:rPr>
                <w:rFonts w:ascii="宋体" w:hAnsi="宋体" w:cs="宋体" w:hint="eastAsia"/>
                <w:color w:val="000000"/>
                <w:kern w:val="0"/>
                <w:szCs w:val="21"/>
                <w:highlight w:val="lightGray"/>
              </w:rPr>
              <w:t>债券信用评级在AAA以下（不含AAA）的</w:t>
            </w:r>
            <w:r w:rsidRPr="00C97858">
              <w:rPr>
                <w:rFonts w:ascii="宋体" w:hAnsi="宋体" w:cs="宋体" w:hint="eastAsia"/>
                <w:color w:val="000000"/>
                <w:kern w:val="0"/>
                <w:szCs w:val="21"/>
              </w:rPr>
              <w:t>公司债券、企业债券</w:t>
            </w:r>
            <w:r w:rsidRPr="00C97858">
              <w:rPr>
                <w:rFonts w:ascii="宋体" w:hAnsi="宋体" w:cs="宋体" w:hint="eastAsia"/>
                <w:color w:val="000000"/>
                <w:kern w:val="0"/>
                <w:szCs w:val="21"/>
                <w:highlight w:val="lightGray"/>
              </w:rPr>
              <w:t>（不包括公开发行的可转换公司债券）；</w:t>
            </w:r>
          </w:p>
          <w:p w:rsidR="00852AB5" w:rsidRPr="00C97858" w:rsidRDefault="00852AB5" w:rsidP="006D7B82">
            <w:pPr>
              <w:ind w:firstLineChars="200" w:firstLine="420"/>
              <w:rPr>
                <w:rFonts w:ascii="宋体" w:hAnsi="宋体" w:cs="宋体"/>
                <w:color w:val="000000"/>
                <w:kern w:val="0"/>
                <w:szCs w:val="21"/>
                <w:highlight w:val="lightGray"/>
              </w:rPr>
            </w:pPr>
            <w:r w:rsidRPr="00C97858">
              <w:rPr>
                <w:rFonts w:ascii="宋体" w:hAnsi="宋体" w:cs="宋体" w:hint="eastAsia"/>
                <w:color w:val="000000"/>
                <w:kern w:val="0"/>
                <w:szCs w:val="21"/>
                <w:highlight w:val="lightGray"/>
              </w:rPr>
              <w:t>（二）非公开发行的公司债券、企业债券；</w:t>
            </w:r>
          </w:p>
          <w:p w:rsidR="00852AB5" w:rsidRDefault="00852AB5" w:rsidP="006D7B82">
            <w:pPr>
              <w:ind w:firstLineChars="200" w:firstLine="420"/>
              <w:rPr>
                <w:rFonts w:ascii="宋体" w:hAnsi="宋体" w:cs="宋体"/>
                <w:color w:val="000000"/>
                <w:kern w:val="0"/>
                <w:szCs w:val="21"/>
              </w:rPr>
            </w:pPr>
            <w:r w:rsidRPr="00C97858">
              <w:rPr>
                <w:rFonts w:ascii="宋体" w:hAnsi="宋体" w:cs="宋体" w:hint="eastAsia"/>
                <w:color w:val="000000"/>
                <w:kern w:val="0"/>
                <w:szCs w:val="21"/>
                <w:highlight w:val="lightGray"/>
              </w:rPr>
              <w:t>（三）</w:t>
            </w:r>
            <w:r w:rsidRPr="00C97858">
              <w:rPr>
                <w:rFonts w:ascii="宋体" w:hAnsi="宋体" w:cs="宋体" w:hint="eastAsia"/>
                <w:color w:val="000000"/>
                <w:kern w:val="0"/>
                <w:szCs w:val="21"/>
              </w:rPr>
              <w:t>资产支持证券</w:t>
            </w:r>
            <w:r w:rsidRPr="00C97858">
              <w:rPr>
                <w:rFonts w:ascii="宋体" w:hAnsi="宋体" w:cs="宋体" w:hint="eastAsia"/>
                <w:color w:val="000000"/>
                <w:kern w:val="0"/>
                <w:szCs w:val="21"/>
                <w:highlight w:val="lightGray"/>
              </w:rPr>
              <w:t>；</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lastRenderedPageBreak/>
              <w:t>（四）</w:t>
            </w:r>
            <w:r>
              <w:rPr>
                <w:rFonts w:ascii="宋体" w:hAnsi="宋体" w:cs="宋体" w:hint="eastAsia"/>
                <w:color w:val="000000"/>
                <w:kern w:val="0"/>
                <w:szCs w:val="21"/>
              </w:rPr>
              <w:t>本所认可的其他仅限合格投资者中的机构投资者认购及交易的债券。</w:t>
            </w:r>
          </w:p>
          <w:p w:rsidR="00852AB5" w:rsidRDefault="00852AB5" w:rsidP="006D7B82">
            <w:pPr>
              <w:ind w:firstLineChars="200" w:firstLine="420"/>
              <w:rPr>
                <w:rFonts w:ascii="宋体" w:hAnsi="宋体" w:cs="宋体"/>
                <w:color w:val="000000"/>
                <w:kern w:val="0"/>
                <w:szCs w:val="21"/>
                <w:highlight w:val="lightGray"/>
              </w:rPr>
            </w:pPr>
            <w:r>
              <w:rPr>
                <w:rFonts w:ascii="宋体" w:hAnsi="宋体" w:cs="宋体" w:hint="eastAsia"/>
                <w:color w:val="000000"/>
                <w:kern w:val="0"/>
                <w:szCs w:val="21"/>
                <w:highlight w:val="lightGray"/>
              </w:rPr>
              <w:t>本所提供转让服务的暂停上市债券仅限合格投资者中的机构投资者买入。</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发行人</w:t>
            </w:r>
            <w:r w:rsidRPr="00C97858">
              <w:rPr>
                <w:rFonts w:ascii="宋体" w:hAnsi="宋体" w:cs="宋体" w:hint="eastAsia"/>
                <w:color w:val="000000"/>
                <w:kern w:val="0"/>
                <w:szCs w:val="21"/>
                <w:highlight w:val="lightGray"/>
              </w:rPr>
              <w:t>的董事、监事、高级管理人员及</w:t>
            </w:r>
            <w:r>
              <w:rPr>
                <w:rFonts w:ascii="宋体" w:hAnsi="宋体" w:cs="宋体" w:hint="eastAsia"/>
                <w:color w:val="000000"/>
                <w:kern w:val="0"/>
                <w:szCs w:val="21"/>
              </w:rPr>
              <w:t>持股比例超过5%的股东认购及交易该发行人发行的公司债券，资产支持证券原始权益人及其关联方认购及交易相应的资产支持证券,不受本办法第六条规定的合格投资者条件的限制。</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承销机构可参与其承销的债券的认购及交易。</w:t>
            </w:r>
          </w:p>
        </w:tc>
        <w:tc>
          <w:tcPr>
            <w:tcW w:w="6696" w:type="dxa"/>
          </w:tcPr>
          <w:p w:rsidR="00852AB5" w:rsidRPr="00197EC9" w:rsidRDefault="00852AB5" w:rsidP="006D7B82">
            <w:pPr>
              <w:ind w:firstLineChars="200" w:firstLine="420"/>
              <w:rPr>
                <w:rFonts w:ascii="宋体" w:hAnsi="宋体"/>
                <w:szCs w:val="21"/>
              </w:rPr>
            </w:pPr>
            <w:r>
              <w:rPr>
                <w:rFonts w:ascii="宋体" w:hAnsi="宋体" w:hint="eastAsia"/>
                <w:szCs w:val="21"/>
              </w:rPr>
              <w:lastRenderedPageBreak/>
              <w:t>第八</w:t>
            </w:r>
            <w:r w:rsidRPr="00197EC9">
              <w:rPr>
                <w:rFonts w:ascii="宋体" w:hAnsi="宋体" w:hint="eastAsia"/>
                <w:szCs w:val="21"/>
              </w:rPr>
              <w:t xml:space="preserve">条 </w:t>
            </w:r>
            <w:r w:rsidRPr="00197EC9">
              <w:rPr>
                <w:rFonts w:ascii="宋体" w:hAnsi="宋体" w:hint="eastAsia"/>
                <w:b/>
                <w:bCs/>
                <w:szCs w:val="21"/>
              </w:rPr>
              <w:t>专业</w:t>
            </w:r>
            <w:r w:rsidRPr="00197EC9">
              <w:rPr>
                <w:rFonts w:ascii="宋体" w:hAnsi="宋体" w:hint="eastAsia"/>
                <w:szCs w:val="21"/>
              </w:rPr>
              <w:t>投资者可以认购及交易在本所上市交易或者挂牌转让的全部债券，但下列债券仅限</w:t>
            </w:r>
            <w:r w:rsidRPr="00197EC9">
              <w:rPr>
                <w:rFonts w:ascii="宋体" w:hAnsi="宋体" w:hint="eastAsia"/>
                <w:b/>
                <w:bCs/>
                <w:szCs w:val="21"/>
              </w:rPr>
              <w:t>专业</w:t>
            </w:r>
            <w:r w:rsidRPr="00197EC9">
              <w:rPr>
                <w:rFonts w:ascii="宋体" w:hAnsi="宋体" w:hint="eastAsia"/>
                <w:szCs w:val="21"/>
              </w:rPr>
              <w:t>投资者中的机构投资者认购及交易：</w:t>
            </w:r>
          </w:p>
          <w:p w:rsidR="00852AB5" w:rsidRPr="00197EC9" w:rsidRDefault="00852AB5" w:rsidP="006D7B82">
            <w:pPr>
              <w:ind w:firstLineChars="200" w:firstLine="422"/>
              <w:rPr>
                <w:rFonts w:ascii="宋体" w:hAnsi="宋体"/>
                <w:b/>
                <w:szCs w:val="21"/>
              </w:rPr>
            </w:pPr>
            <w:r w:rsidRPr="00197EC9">
              <w:rPr>
                <w:rFonts w:ascii="宋体" w:hAnsi="宋体" w:hint="eastAsia"/>
                <w:b/>
                <w:szCs w:val="21"/>
              </w:rPr>
              <w:t>（一）依据《</w:t>
            </w:r>
            <w:r>
              <w:rPr>
                <w:rFonts w:ascii="宋体" w:hAnsi="宋体" w:hint="eastAsia"/>
                <w:b/>
                <w:szCs w:val="21"/>
              </w:rPr>
              <w:t>公司债券管理办法</w:t>
            </w:r>
            <w:r w:rsidRPr="00197EC9">
              <w:rPr>
                <w:rFonts w:ascii="宋体" w:hAnsi="宋体" w:hint="eastAsia"/>
                <w:b/>
                <w:szCs w:val="21"/>
              </w:rPr>
              <w:t>》第十六条面向普通投资者公开发行的</w:t>
            </w:r>
            <w:r w:rsidRPr="00197EC9">
              <w:rPr>
                <w:rFonts w:ascii="宋体" w:hAnsi="宋体" w:hint="eastAsia"/>
                <w:szCs w:val="21"/>
              </w:rPr>
              <w:t>公司债券以外的其他公司债券</w:t>
            </w:r>
            <w:r w:rsidRPr="00197EC9">
              <w:rPr>
                <w:rFonts w:ascii="宋体" w:hAnsi="宋体" w:hint="eastAsia"/>
                <w:b/>
                <w:szCs w:val="21"/>
              </w:rPr>
              <w:t>；</w:t>
            </w:r>
          </w:p>
          <w:p w:rsidR="00852AB5" w:rsidRPr="00197EC9" w:rsidRDefault="00852AB5" w:rsidP="006D7B82">
            <w:pPr>
              <w:ind w:firstLineChars="200" w:firstLine="420"/>
              <w:rPr>
                <w:rFonts w:ascii="宋体" w:hAnsi="宋体"/>
                <w:b/>
                <w:bCs/>
                <w:szCs w:val="21"/>
              </w:rPr>
            </w:pPr>
            <w:r w:rsidRPr="00197EC9">
              <w:rPr>
                <w:rFonts w:ascii="宋体" w:hAnsi="宋体" w:hint="eastAsia"/>
                <w:szCs w:val="21"/>
              </w:rPr>
              <w:t>（二）企业债券；</w:t>
            </w:r>
          </w:p>
          <w:p w:rsidR="00852AB5" w:rsidRPr="00197EC9" w:rsidRDefault="00852AB5" w:rsidP="006D7B82">
            <w:pPr>
              <w:ind w:firstLineChars="200" w:firstLine="420"/>
              <w:rPr>
                <w:rFonts w:ascii="宋体" w:hAnsi="宋体"/>
                <w:szCs w:val="21"/>
              </w:rPr>
            </w:pPr>
            <w:r w:rsidRPr="00197EC9">
              <w:rPr>
                <w:rFonts w:ascii="宋体" w:hAnsi="宋体" w:hint="eastAsia"/>
                <w:szCs w:val="21"/>
              </w:rPr>
              <w:t>（三）资产支持证券</w:t>
            </w:r>
            <w:r w:rsidRPr="00197EC9">
              <w:rPr>
                <w:rFonts w:ascii="宋体" w:hAnsi="宋体" w:hint="eastAsia"/>
                <w:bCs/>
                <w:szCs w:val="21"/>
              </w:rPr>
              <w:t>；</w:t>
            </w:r>
          </w:p>
          <w:p w:rsidR="00852AB5" w:rsidRPr="00197EC9" w:rsidRDefault="00852AB5" w:rsidP="006D7B82">
            <w:pPr>
              <w:ind w:firstLineChars="200" w:firstLine="420"/>
              <w:rPr>
                <w:rFonts w:ascii="宋体" w:hAnsi="宋体"/>
                <w:szCs w:val="21"/>
              </w:rPr>
            </w:pPr>
            <w:r w:rsidRPr="00197EC9">
              <w:rPr>
                <w:rFonts w:ascii="宋体" w:hAnsi="宋体" w:hint="eastAsia"/>
                <w:szCs w:val="21"/>
              </w:rPr>
              <w:t>（四）本所认可的其他仅限专业投资者中的机构投资者认购及交易</w:t>
            </w:r>
            <w:r w:rsidRPr="00197EC9">
              <w:rPr>
                <w:rFonts w:ascii="宋体" w:hAnsi="宋体" w:hint="eastAsia"/>
                <w:szCs w:val="21"/>
              </w:rPr>
              <w:lastRenderedPageBreak/>
              <w:t>的债券。</w:t>
            </w:r>
          </w:p>
          <w:p w:rsidR="00852AB5" w:rsidRDefault="00852AB5" w:rsidP="006D7B82">
            <w:pPr>
              <w:ind w:firstLineChars="200" w:firstLine="420"/>
              <w:rPr>
                <w:rFonts w:ascii="宋体" w:hAnsi="宋体"/>
                <w:szCs w:val="21"/>
              </w:rPr>
            </w:pPr>
            <w:r w:rsidRPr="00197EC9">
              <w:rPr>
                <w:rFonts w:ascii="宋体" w:hAnsi="宋体" w:hint="eastAsia"/>
                <w:szCs w:val="21"/>
              </w:rPr>
              <w:t>发行人</w:t>
            </w:r>
            <w:r w:rsidRPr="00197EC9">
              <w:rPr>
                <w:rFonts w:ascii="宋体" w:hAnsi="宋体" w:cs="宋体" w:hint="eastAsia"/>
                <w:color w:val="000000"/>
                <w:kern w:val="0"/>
                <w:szCs w:val="21"/>
              </w:rPr>
              <w:t>的董事、监事、高级管理人员及</w:t>
            </w:r>
            <w:r w:rsidRPr="00197EC9">
              <w:rPr>
                <w:rFonts w:ascii="宋体" w:hAnsi="宋体" w:hint="eastAsia"/>
                <w:szCs w:val="21"/>
              </w:rPr>
              <w:t>持股比例超过5%的股东认购及交易该发行人发行的公司债券，资产支持证券原始权益人及其关联方认购及交易相应的资产支持证券,不受本办法第六条规定的专业投资者条件的限制。</w:t>
            </w:r>
          </w:p>
          <w:p w:rsidR="00852AB5" w:rsidRPr="00197EC9" w:rsidRDefault="00852AB5" w:rsidP="006D7B82">
            <w:pPr>
              <w:ind w:firstLineChars="200" w:firstLine="420"/>
              <w:rPr>
                <w:rFonts w:ascii="宋体" w:hAnsi="宋体"/>
                <w:b/>
                <w:szCs w:val="21"/>
              </w:rPr>
            </w:pPr>
            <w:r w:rsidRPr="00197EC9">
              <w:rPr>
                <w:rFonts w:ascii="宋体" w:hAnsi="宋体" w:hint="eastAsia"/>
                <w:szCs w:val="21"/>
              </w:rPr>
              <w:t>承销机构可</w:t>
            </w:r>
            <w:r>
              <w:rPr>
                <w:rFonts w:ascii="宋体" w:hAnsi="宋体" w:hint="eastAsia"/>
                <w:szCs w:val="21"/>
              </w:rPr>
              <w:t>以</w:t>
            </w:r>
            <w:r w:rsidRPr="00197EC9">
              <w:rPr>
                <w:rFonts w:ascii="宋体" w:hAnsi="宋体" w:hint="eastAsia"/>
                <w:szCs w:val="21"/>
              </w:rPr>
              <w:t>参与其承销的债券的认购及交易，</w:t>
            </w:r>
            <w:r w:rsidRPr="00197EC9">
              <w:rPr>
                <w:rFonts w:ascii="宋体" w:hAnsi="宋体" w:hint="eastAsia"/>
                <w:b/>
                <w:bCs/>
                <w:szCs w:val="21"/>
              </w:rPr>
              <w:t>但其自营、资产管理及投资顾问等不同业务类型下的债券业务应按照相关规定分开办理，实行严格分离，切实防范利益冲突。</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 xml:space="preserve">第九条 </w:t>
            </w:r>
            <w:r>
              <w:rPr>
                <w:rFonts w:ascii="宋体" w:hAnsi="宋体" w:cs="宋体" w:hint="eastAsia"/>
                <w:b/>
                <w:bCs/>
                <w:color w:val="FF0000"/>
                <w:kern w:val="0"/>
                <w:szCs w:val="21"/>
              </w:rPr>
              <w:t>公众</w:t>
            </w:r>
            <w:r>
              <w:rPr>
                <w:rFonts w:ascii="宋体" w:hAnsi="宋体" w:cs="宋体" w:hint="eastAsia"/>
                <w:color w:val="000000"/>
                <w:kern w:val="0"/>
                <w:szCs w:val="21"/>
              </w:rPr>
              <w:t>投资者可以认购及交易在本所上市的下列债券：</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（一）国债；</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（二）地方政府债券；</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（三）政策性银行金融债券；</w:t>
            </w:r>
          </w:p>
          <w:p w:rsidR="00852AB5" w:rsidRDefault="00852AB5" w:rsidP="006D7B82">
            <w:pPr>
              <w:ind w:firstLineChars="200" w:firstLine="420"/>
              <w:rPr>
                <w:rFonts w:ascii="宋体" w:hAnsi="宋体" w:cs="宋体"/>
                <w:color w:val="000000"/>
                <w:kern w:val="0"/>
                <w:szCs w:val="21"/>
              </w:rPr>
            </w:pPr>
            <w:r w:rsidRPr="00C97858">
              <w:rPr>
                <w:rFonts w:ascii="宋体" w:hAnsi="宋体" w:cs="宋体" w:hint="eastAsia"/>
                <w:color w:val="000000"/>
                <w:kern w:val="0"/>
                <w:szCs w:val="21"/>
                <w:highlight w:val="lightGray"/>
              </w:rPr>
              <w:t>（四）公开发行的可转换公司债券；</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t>（五）</w:t>
            </w:r>
            <w:r>
              <w:rPr>
                <w:rFonts w:ascii="宋体" w:hAnsi="宋体" w:cs="宋体" w:hint="eastAsia"/>
                <w:bCs/>
                <w:color w:val="000000"/>
                <w:kern w:val="0"/>
                <w:szCs w:val="21"/>
              </w:rPr>
              <w:t>符合《公司债券发行与交易管理办法》</w:t>
            </w:r>
            <w:r>
              <w:rPr>
                <w:rFonts w:ascii="宋体" w:hAnsi="宋体" w:cs="宋体" w:hint="eastAsia"/>
                <w:color w:val="000000"/>
                <w:kern w:val="0"/>
                <w:szCs w:val="21"/>
              </w:rPr>
              <w:t>和本所《公司债券上市规则》规定条件，面向公众投资者公开发行的公司债券；</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t>（六）</w:t>
            </w:r>
            <w:r>
              <w:rPr>
                <w:rFonts w:ascii="宋体" w:hAnsi="宋体" w:cs="宋体" w:hint="eastAsia"/>
                <w:color w:val="000000"/>
                <w:kern w:val="0"/>
                <w:szCs w:val="21"/>
              </w:rPr>
              <w:t>本所认可的其他债券品种。</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 xml:space="preserve">第九条 </w:t>
            </w:r>
            <w:r>
              <w:rPr>
                <w:rFonts w:ascii="宋体" w:hAnsi="宋体" w:hint="eastAsia"/>
                <w:b/>
                <w:bCs/>
                <w:szCs w:val="21"/>
              </w:rPr>
              <w:t>普通</w:t>
            </w:r>
            <w:r>
              <w:rPr>
                <w:rFonts w:ascii="宋体" w:hAnsi="宋体" w:hint="eastAsia"/>
                <w:szCs w:val="21"/>
              </w:rPr>
              <w:t>投资者可以认购及交易在本所上市的下列债券：</w:t>
            </w:r>
          </w:p>
          <w:p w:rsidR="00852AB5" w:rsidRDefault="00852AB5" w:rsidP="006D7B82">
            <w:pPr>
              <w:ind w:firstLineChars="200" w:firstLine="420"/>
              <w:rPr>
                <w:rFonts w:ascii="宋体" w:hAnsi="宋体"/>
                <w:szCs w:val="21"/>
              </w:rPr>
            </w:pPr>
            <w:r>
              <w:rPr>
                <w:rFonts w:ascii="宋体" w:hAnsi="宋体" w:hint="eastAsia"/>
                <w:szCs w:val="21"/>
              </w:rPr>
              <w:t>（一）国债；</w:t>
            </w:r>
          </w:p>
          <w:p w:rsidR="00852AB5" w:rsidRDefault="00852AB5" w:rsidP="006D7B82">
            <w:pPr>
              <w:ind w:firstLineChars="200" w:firstLine="420"/>
              <w:rPr>
                <w:rFonts w:ascii="宋体" w:hAnsi="宋体"/>
                <w:szCs w:val="21"/>
              </w:rPr>
            </w:pPr>
            <w:r>
              <w:rPr>
                <w:rFonts w:ascii="宋体" w:hAnsi="宋体" w:hint="eastAsia"/>
                <w:szCs w:val="21"/>
              </w:rPr>
              <w:t>（二）地方政府债券；</w:t>
            </w:r>
          </w:p>
          <w:p w:rsidR="00852AB5" w:rsidRDefault="00852AB5" w:rsidP="006D7B82">
            <w:pPr>
              <w:ind w:firstLineChars="200" w:firstLine="420"/>
              <w:rPr>
                <w:rFonts w:ascii="宋体" w:hAnsi="宋体"/>
                <w:szCs w:val="21"/>
              </w:rPr>
            </w:pPr>
            <w:r>
              <w:rPr>
                <w:rFonts w:ascii="宋体" w:hAnsi="宋体" w:hint="eastAsia"/>
                <w:szCs w:val="21"/>
              </w:rPr>
              <w:t>（三）政策性银行金融债券；</w:t>
            </w:r>
          </w:p>
          <w:p w:rsidR="00852AB5" w:rsidRDefault="00852AB5" w:rsidP="006D7B82">
            <w:pPr>
              <w:ind w:firstLineChars="200" w:firstLine="420"/>
              <w:rPr>
                <w:rFonts w:ascii="宋体" w:hAnsi="宋体"/>
                <w:szCs w:val="21"/>
              </w:rPr>
            </w:pPr>
            <w:r>
              <w:rPr>
                <w:rFonts w:ascii="宋体" w:hAnsi="宋体" w:hint="eastAsia"/>
                <w:szCs w:val="21"/>
              </w:rPr>
              <w:t>（四）</w:t>
            </w:r>
            <w:r w:rsidRPr="00144BC0">
              <w:rPr>
                <w:rFonts w:ascii="宋体" w:hAnsi="宋体" w:hint="eastAsia"/>
                <w:b/>
                <w:szCs w:val="21"/>
              </w:rPr>
              <w:t>政府支持机构债券；</w:t>
            </w:r>
          </w:p>
          <w:p w:rsidR="00852AB5" w:rsidRDefault="00852AB5" w:rsidP="006D7B82">
            <w:pPr>
              <w:ind w:firstLineChars="200" w:firstLine="420"/>
              <w:rPr>
                <w:rFonts w:ascii="宋体" w:hAnsi="宋体"/>
                <w:szCs w:val="21"/>
              </w:rPr>
            </w:pPr>
            <w:r>
              <w:rPr>
                <w:rFonts w:ascii="宋体" w:hAnsi="宋体" w:hint="eastAsia"/>
                <w:szCs w:val="21"/>
              </w:rPr>
              <w:t>（五）资信状况符合《公司债券管理办法》第十六条规定标准的公开发行的公司债券；</w:t>
            </w:r>
          </w:p>
          <w:p w:rsidR="00852AB5" w:rsidRDefault="00852AB5" w:rsidP="00B25CD3">
            <w:pPr>
              <w:ind w:firstLineChars="200" w:firstLine="420"/>
              <w:rPr>
                <w:rFonts w:ascii="宋体" w:hAnsi="宋体"/>
                <w:szCs w:val="21"/>
              </w:rPr>
            </w:pPr>
            <w:r>
              <w:rPr>
                <w:rFonts w:ascii="宋体" w:hAnsi="宋体" w:hint="eastAsia"/>
                <w:szCs w:val="21"/>
              </w:rPr>
              <w:t>（六）本所认可的其他债券品种。</w:t>
            </w:r>
          </w:p>
        </w:tc>
      </w:tr>
      <w:tr w:rsidR="00852AB5" w:rsidTr="00852AB5">
        <w:trPr>
          <w:trHeight w:val="295"/>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第十条 因继承、赠与、企业分立等非交易行为，</w:t>
            </w:r>
            <w:r>
              <w:rPr>
                <w:rFonts w:ascii="宋体" w:hAnsi="宋体" w:cs="宋体" w:hint="eastAsia"/>
                <w:b/>
                <w:bCs/>
                <w:color w:val="FF0000"/>
                <w:kern w:val="0"/>
                <w:szCs w:val="21"/>
              </w:rPr>
              <w:t>公众</w:t>
            </w:r>
            <w:r>
              <w:rPr>
                <w:rFonts w:ascii="宋体" w:hAnsi="宋体" w:cs="宋体" w:hint="eastAsia"/>
                <w:color w:val="000000"/>
                <w:kern w:val="0"/>
                <w:szCs w:val="21"/>
              </w:rPr>
              <w:t>投资者获得仅限合格投资者参与认购及交易的债券或者合格投资者中的个人投资者获得仅限机构投资者参与认购及交易的债券的，可以选择持有到期或者卖出债券，不得另行买入。</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第十条 因继承、赠与、企业分立等非交易行为，</w:t>
            </w:r>
            <w:r>
              <w:rPr>
                <w:rFonts w:ascii="宋体" w:hAnsi="宋体" w:hint="eastAsia"/>
                <w:b/>
                <w:bCs/>
                <w:szCs w:val="21"/>
              </w:rPr>
              <w:t>普通</w:t>
            </w:r>
            <w:r>
              <w:rPr>
                <w:rFonts w:ascii="宋体" w:hAnsi="宋体" w:hint="eastAsia"/>
                <w:szCs w:val="21"/>
              </w:rPr>
              <w:t>投资者获得仅限专业投资者参与认购及交易的债券或者专业投资者中的个人投资者获得仅限机构投资者参与认购及交易的债券的，可以选择持有到期或者卖出债券，不得另行买入。</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 xml:space="preserve">第十一条 在本所上市交易或者挂牌转让的债券，发生下列情形之一的，发行人、受托管理人或具有同等职责的机构应当及时发布公告提示投资风险，自该情形披露之日起，仅本办法规定的合格投资者中的机构投资者可以买入该债券： </w:t>
            </w:r>
          </w:p>
          <w:p w:rsidR="00852AB5" w:rsidRDefault="00852AB5" w:rsidP="006D7B82">
            <w:pPr>
              <w:ind w:firstLineChars="200" w:firstLine="420"/>
              <w:rPr>
                <w:rFonts w:ascii="宋体" w:hAnsi="宋体" w:cs="宋体"/>
                <w:color w:val="000000"/>
                <w:kern w:val="0"/>
                <w:szCs w:val="21"/>
              </w:rPr>
            </w:pPr>
            <w:r w:rsidRPr="00C97858">
              <w:rPr>
                <w:rFonts w:ascii="宋体" w:hAnsi="宋体" w:cs="宋体" w:hint="eastAsia"/>
                <w:color w:val="000000"/>
                <w:kern w:val="0"/>
                <w:szCs w:val="21"/>
                <w:highlight w:val="lightGray"/>
              </w:rPr>
              <w:t>（一）公司债券、企业债券信用评级下调至AAA级以下（不含</w:t>
            </w:r>
            <w:r w:rsidRPr="00C97858">
              <w:rPr>
                <w:rFonts w:ascii="宋体" w:hAnsi="宋体" w:cs="宋体" w:hint="eastAsia"/>
                <w:color w:val="000000"/>
                <w:kern w:val="0"/>
                <w:szCs w:val="21"/>
                <w:highlight w:val="lightGray"/>
              </w:rPr>
              <w:lastRenderedPageBreak/>
              <w:t>AAA）；</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t>（二）</w:t>
            </w:r>
            <w:r>
              <w:rPr>
                <w:rFonts w:ascii="宋体" w:hAnsi="宋体" w:cs="宋体" w:hint="eastAsia"/>
                <w:color w:val="000000"/>
                <w:kern w:val="0"/>
                <w:szCs w:val="21"/>
              </w:rPr>
              <w:t>发行人最近一个会计年度经审计的财务报告显示为亏损或经更正的财务报告显示为亏损；</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t>（三）</w:t>
            </w:r>
            <w:r>
              <w:rPr>
                <w:rFonts w:ascii="宋体" w:hAnsi="宋体" w:cs="宋体" w:hint="eastAsia"/>
                <w:color w:val="000000"/>
                <w:kern w:val="0"/>
                <w:szCs w:val="21"/>
              </w:rPr>
              <w:t>发行人发生债务违约、延迟支付本息，</w:t>
            </w:r>
            <w:r w:rsidRPr="00A0281C">
              <w:rPr>
                <w:rFonts w:ascii="宋体" w:hAnsi="宋体" w:cs="宋体" w:hint="eastAsia"/>
                <w:b/>
                <w:color w:val="FF0000"/>
                <w:kern w:val="0"/>
                <w:szCs w:val="21"/>
              </w:rPr>
              <w:t>或者其他可能对债券还本付息产生重大影响的事件；</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t>（四）</w:t>
            </w:r>
            <w:r>
              <w:rPr>
                <w:rFonts w:ascii="宋体" w:hAnsi="宋体" w:cs="宋体" w:hint="eastAsia"/>
                <w:color w:val="000000"/>
                <w:kern w:val="0"/>
                <w:szCs w:val="21"/>
              </w:rPr>
              <w:t>发行人发生严重违反法律、行政法规、部门规章或者合同约定的行为，或者被证券监督管理部门立案调查，严重影响其偿债能力；</w:t>
            </w:r>
          </w:p>
          <w:p w:rsidR="00852AB5" w:rsidRDefault="00852AB5" w:rsidP="006D7B82">
            <w:pPr>
              <w:ind w:firstLineChars="200" w:firstLine="422"/>
              <w:rPr>
                <w:rFonts w:ascii="宋体" w:hAnsi="宋体" w:cs="宋体"/>
                <w:color w:val="000000"/>
                <w:kern w:val="0"/>
                <w:szCs w:val="21"/>
              </w:rPr>
            </w:pPr>
            <w:r w:rsidRPr="00C97858">
              <w:rPr>
                <w:rFonts w:ascii="宋体" w:hAnsi="宋体" w:cs="宋体" w:hint="eastAsia"/>
                <w:b/>
                <w:color w:val="FF0000"/>
                <w:kern w:val="0"/>
                <w:szCs w:val="21"/>
              </w:rPr>
              <w:t>（五）</w:t>
            </w:r>
            <w:r w:rsidRPr="00A0281C">
              <w:rPr>
                <w:rFonts w:ascii="宋体" w:hAnsi="宋体" w:cs="宋体" w:hint="eastAsia"/>
                <w:b/>
                <w:color w:val="FF0000"/>
                <w:kern w:val="0"/>
                <w:szCs w:val="21"/>
              </w:rPr>
              <w:t>本所认定的其他情形。</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发行人、受托管理人或具有同等职责的机构未按前款要求发布公告的，本所可根据实际情况，调整债券的投资者适当性管理要求并对外公告。</w:t>
            </w:r>
          </w:p>
        </w:tc>
        <w:tc>
          <w:tcPr>
            <w:tcW w:w="6696" w:type="dxa"/>
          </w:tcPr>
          <w:p w:rsidR="00852AB5" w:rsidRDefault="00852AB5" w:rsidP="006D7B82">
            <w:pPr>
              <w:ind w:firstLineChars="250" w:firstLine="525"/>
              <w:rPr>
                <w:rFonts w:ascii="宋体" w:hAnsi="宋体"/>
                <w:szCs w:val="21"/>
              </w:rPr>
            </w:pPr>
            <w:r>
              <w:rPr>
                <w:rFonts w:ascii="宋体" w:hAnsi="宋体" w:hint="eastAsia"/>
                <w:szCs w:val="21"/>
              </w:rPr>
              <w:lastRenderedPageBreak/>
              <w:t xml:space="preserve">第十一条 在本所上市交易或者挂牌转让的债券，发生下列情形之一的，发行人、受托管理人或者具有同等职责的机构应当及时发布公告提示投资风险，自该情形披露之日起，仅本办法规定的专业投资者中的机构投资者可以买入该债券： </w:t>
            </w:r>
          </w:p>
          <w:p w:rsidR="00852AB5" w:rsidRDefault="00852AB5" w:rsidP="006D7B82">
            <w:pPr>
              <w:ind w:firstLineChars="200" w:firstLine="422"/>
              <w:rPr>
                <w:rFonts w:ascii="宋体" w:hAnsi="宋体"/>
                <w:szCs w:val="21"/>
              </w:rPr>
            </w:pPr>
            <w:r w:rsidRPr="007C753D">
              <w:rPr>
                <w:rFonts w:ascii="宋体" w:hAnsi="宋体" w:hint="eastAsia"/>
                <w:b/>
                <w:szCs w:val="21"/>
              </w:rPr>
              <w:t>（一）</w:t>
            </w:r>
            <w:r>
              <w:rPr>
                <w:rFonts w:ascii="宋体" w:hAnsi="宋体" w:hint="eastAsia"/>
                <w:szCs w:val="21"/>
              </w:rPr>
              <w:t>发行人最近一个会计年度经审计的财务报告显示为亏损，或</w:t>
            </w:r>
            <w:r>
              <w:rPr>
                <w:rFonts w:ascii="宋体" w:hAnsi="宋体" w:hint="eastAsia"/>
                <w:szCs w:val="21"/>
              </w:rPr>
              <w:lastRenderedPageBreak/>
              <w:t>者经更正的财务报告显示为亏损；</w:t>
            </w:r>
          </w:p>
          <w:p w:rsidR="00852AB5" w:rsidRDefault="00852AB5" w:rsidP="006D7B82">
            <w:pPr>
              <w:ind w:firstLineChars="200" w:firstLine="422"/>
              <w:rPr>
                <w:rFonts w:ascii="宋体" w:hAnsi="宋体"/>
                <w:szCs w:val="21"/>
              </w:rPr>
            </w:pPr>
            <w:r w:rsidRPr="007C753D">
              <w:rPr>
                <w:rFonts w:ascii="宋体" w:hAnsi="宋体" w:hint="eastAsia"/>
                <w:b/>
                <w:szCs w:val="21"/>
              </w:rPr>
              <w:t>（二）</w:t>
            </w:r>
            <w:r>
              <w:rPr>
                <w:rFonts w:ascii="宋体" w:hAnsi="宋体" w:hint="eastAsia"/>
                <w:szCs w:val="21"/>
              </w:rPr>
              <w:t>发行人发生严重违反法律、行政法规、部门规章或者合同约定的行为，或者被证券监督管理部门立案调查，严重影响其偿债能力；</w:t>
            </w:r>
          </w:p>
          <w:p w:rsidR="00852AB5" w:rsidRDefault="00852AB5" w:rsidP="006D7B82">
            <w:pPr>
              <w:ind w:firstLineChars="200" w:firstLine="420"/>
              <w:rPr>
                <w:rFonts w:ascii="宋体" w:hAnsi="宋体"/>
                <w:szCs w:val="21"/>
              </w:rPr>
            </w:pPr>
            <w:r>
              <w:rPr>
                <w:rFonts w:ascii="宋体" w:hAnsi="宋体" w:hint="eastAsia"/>
                <w:szCs w:val="21"/>
              </w:rPr>
              <w:t>（三）发行人</w:t>
            </w:r>
            <w:r w:rsidRPr="00A0281C">
              <w:rPr>
                <w:rFonts w:ascii="宋体" w:hAnsi="宋体" w:hint="eastAsia"/>
                <w:szCs w:val="21"/>
              </w:rPr>
              <w:t>发生</w:t>
            </w:r>
            <w:r>
              <w:rPr>
                <w:rFonts w:ascii="宋体" w:hAnsi="宋体" w:hint="eastAsia"/>
                <w:szCs w:val="21"/>
              </w:rPr>
              <w:t>债务</w:t>
            </w:r>
            <w:r w:rsidRPr="00A0281C">
              <w:rPr>
                <w:rFonts w:ascii="宋体" w:hAnsi="宋体" w:hint="eastAsia"/>
                <w:szCs w:val="21"/>
              </w:rPr>
              <w:t>违约或</w:t>
            </w:r>
            <w:r>
              <w:rPr>
                <w:rFonts w:ascii="宋体" w:hAnsi="宋体" w:hint="eastAsia"/>
                <w:szCs w:val="21"/>
              </w:rPr>
              <w:t>者</w:t>
            </w:r>
            <w:r w:rsidRPr="00A0281C">
              <w:rPr>
                <w:rFonts w:ascii="宋体" w:hAnsi="宋体" w:hint="eastAsia"/>
                <w:szCs w:val="21"/>
              </w:rPr>
              <w:t>延迟支付本息</w:t>
            </w:r>
            <w:r>
              <w:rPr>
                <w:rFonts w:ascii="宋体" w:hAnsi="宋体" w:hint="eastAsia"/>
                <w:szCs w:val="21"/>
              </w:rPr>
              <w:t>事件；</w:t>
            </w:r>
          </w:p>
          <w:p w:rsidR="00852AB5" w:rsidRDefault="00852AB5" w:rsidP="006D7B82">
            <w:pPr>
              <w:ind w:firstLineChars="200" w:firstLine="422"/>
              <w:rPr>
                <w:rFonts w:ascii="宋体" w:hAnsi="宋体"/>
                <w:szCs w:val="21"/>
              </w:rPr>
            </w:pPr>
            <w:r w:rsidRPr="007C753D">
              <w:rPr>
                <w:rFonts w:ascii="宋体" w:hAnsi="宋体" w:hint="eastAsia"/>
                <w:b/>
                <w:szCs w:val="21"/>
              </w:rPr>
              <w:t>（四）</w:t>
            </w:r>
            <w:r w:rsidRPr="00A0281C">
              <w:rPr>
                <w:rFonts w:ascii="宋体" w:hAnsi="宋体" w:hint="eastAsia"/>
                <w:b/>
                <w:szCs w:val="21"/>
              </w:rPr>
              <w:t>发行人发行的公司信用类债券价格出现较大负面波动</w:t>
            </w:r>
            <w:r w:rsidRPr="00F81136">
              <w:rPr>
                <w:rFonts w:ascii="宋体" w:hAnsi="宋体" w:hint="eastAsia"/>
                <w:szCs w:val="21"/>
              </w:rPr>
              <w:t>；</w:t>
            </w:r>
          </w:p>
          <w:p w:rsidR="00852AB5" w:rsidRDefault="00852AB5" w:rsidP="006D7B82">
            <w:pPr>
              <w:ind w:firstLineChars="200" w:firstLine="422"/>
              <w:rPr>
                <w:rFonts w:ascii="宋体" w:hAnsi="宋体"/>
                <w:szCs w:val="21"/>
              </w:rPr>
            </w:pPr>
            <w:r w:rsidRPr="007C753D">
              <w:rPr>
                <w:rFonts w:ascii="宋体" w:hAnsi="宋体" w:hint="eastAsia"/>
                <w:b/>
                <w:szCs w:val="21"/>
              </w:rPr>
              <w:t>（五）</w:t>
            </w:r>
            <w:r w:rsidRPr="00A0281C">
              <w:rPr>
                <w:rFonts w:ascii="宋体" w:hAnsi="宋体" w:hint="eastAsia"/>
                <w:b/>
                <w:szCs w:val="21"/>
              </w:rPr>
              <w:t>发行人发生严重影响其偿债能力的其他重大事项，导致债券偿付存在重大不确定性</w:t>
            </w:r>
            <w:r>
              <w:rPr>
                <w:rFonts w:ascii="宋体" w:hAnsi="宋体" w:hint="eastAsia"/>
                <w:szCs w:val="21"/>
              </w:rPr>
              <w:t>；</w:t>
            </w:r>
          </w:p>
          <w:p w:rsidR="00852AB5" w:rsidRDefault="00852AB5" w:rsidP="006D7B82">
            <w:pPr>
              <w:ind w:firstLineChars="200" w:firstLine="422"/>
              <w:rPr>
                <w:rFonts w:ascii="宋体" w:hAnsi="宋体"/>
                <w:szCs w:val="21"/>
              </w:rPr>
            </w:pPr>
            <w:r w:rsidRPr="007C753D">
              <w:rPr>
                <w:rFonts w:ascii="宋体" w:hAnsi="宋体" w:hint="eastAsia"/>
                <w:b/>
                <w:szCs w:val="21"/>
              </w:rPr>
              <w:t>（六）</w:t>
            </w:r>
            <w:r w:rsidRPr="00A0281C">
              <w:rPr>
                <w:rFonts w:ascii="宋体" w:hAnsi="宋体" w:hint="eastAsia"/>
                <w:b/>
                <w:szCs w:val="21"/>
              </w:rPr>
              <w:t>发行人发生其他影响投资者权益保护的负面情形</w:t>
            </w:r>
            <w:r w:rsidRPr="00F81136">
              <w:rPr>
                <w:rFonts w:ascii="宋体" w:hAnsi="宋体" w:hint="eastAsia"/>
                <w:szCs w:val="21"/>
              </w:rPr>
              <w:t>。</w:t>
            </w:r>
          </w:p>
          <w:p w:rsidR="00852AB5" w:rsidRDefault="00852AB5" w:rsidP="006D7B82">
            <w:pPr>
              <w:ind w:firstLineChars="200" w:firstLine="420"/>
              <w:rPr>
                <w:rFonts w:ascii="宋体" w:hAnsi="宋体"/>
                <w:szCs w:val="21"/>
              </w:rPr>
            </w:pPr>
            <w:r>
              <w:rPr>
                <w:rFonts w:ascii="宋体" w:hAnsi="宋体" w:hint="eastAsia"/>
                <w:szCs w:val="21"/>
              </w:rPr>
              <w:t>发行人、受托管理人或者具有同等职责的机构未按前款要求发布公告的，本所可以根据实际情况，调整债券的投资者适当性管理要求。</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 xml:space="preserve">第十二条 </w:t>
            </w:r>
            <w:r>
              <w:rPr>
                <w:rFonts w:ascii="宋体" w:hAnsi="宋体" w:cs="宋体" w:hint="eastAsia"/>
                <w:b/>
                <w:bCs/>
                <w:color w:val="FF0000"/>
                <w:kern w:val="0"/>
                <w:szCs w:val="21"/>
              </w:rPr>
              <w:t>合格</w:t>
            </w:r>
            <w:r>
              <w:rPr>
                <w:rFonts w:ascii="宋体" w:hAnsi="宋体" w:cs="宋体" w:hint="eastAsia"/>
                <w:color w:val="000000"/>
                <w:kern w:val="0"/>
                <w:szCs w:val="21"/>
              </w:rPr>
              <w:t>投资者可以参与本所国债预发行交易，</w:t>
            </w:r>
            <w:r>
              <w:rPr>
                <w:rFonts w:ascii="宋体" w:hAnsi="宋体" w:cs="宋体" w:hint="eastAsia"/>
                <w:b/>
                <w:bCs/>
                <w:color w:val="FF0000"/>
                <w:kern w:val="0"/>
                <w:szCs w:val="21"/>
              </w:rPr>
              <w:t>合格</w:t>
            </w:r>
            <w:r>
              <w:rPr>
                <w:rFonts w:ascii="宋体" w:hAnsi="宋体" w:cs="宋体" w:hint="eastAsia"/>
                <w:color w:val="000000"/>
                <w:kern w:val="0"/>
                <w:szCs w:val="21"/>
              </w:rPr>
              <w:t>投资者中的机构投资者可以参与债券质押式回购的融资交易、债券质押式协议回购的融资交易和融券交易。</w:t>
            </w:r>
            <w:r>
              <w:rPr>
                <w:rFonts w:ascii="宋体" w:hAnsi="宋体" w:cs="宋体" w:hint="eastAsia"/>
                <w:b/>
                <w:bCs/>
                <w:color w:val="FF0000"/>
                <w:kern w:val="0"/>
                <w:szCs w:val="21"/>
              </w:rPr>
              <w:t>合格</w:t>
            </w:r>
            <w:r>
              <w:rPr>
                <w:rFonts w:ascii="宋体" w:hAnsi="宋体" w:cs="宋体" w:hint="eastAsia"/>
                <w:color w:val="000000"/>
                <w:kern w:val="0"/>
                <w:szCs w:val="21"/>
              </w:rPr>
              <w:t>投资者及</w:t>
            </w:r>
            <w:r>
              <w:rPr>
                <w:rFonts w:ascii="宋体" w:hAnsi="宋体" w:cs="宋体" w:hint="eastAsia"/>
                <w:b/>
                <w:bCs/>
                <w:color w:val="FF0000"/>
                <w:kern w:val="0"/>
                <w:szCs w:val="21"/>
              </w:rPr>
              <w:t>公众</w:t>
            </w:r>
            <w:r>
              <w:rPr>
                <w:rFonts w:ascii="宋体" w:hAnsi="宋体" w:cs="宋体" w:hint="eastAsia"/>
                <w:color w:val="000000"/>
                <w:kern w:val="0"/>
                <w:szCs w:val="21"/>
              </w:rPr>
              <w:t>投资者可以参与本所债券质押式回购的融券交易。</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 xml:space="preserve">第十二条 </w:t>
            </w:r>
            <w:r>
              <w:rPr>
                <w:rFonts w:ascii="宋体" w:hAnsi="宋体" w:hint="eastAsia"/>
                <w:b/>
                <w:bCs/>
                <w:szCs w:val="21"/>
              </w:rPr>
              <w:t>专业</w:t>
            </w:r>
            <w:r>
              <w:rPr>
                <w:rFonts w:ascii="宋体" w:hAnsi="宋体" w:hint="eastAsia"/>
                <w:szCs w:val="21"/>
              </w:rPr>
              <w:t>投资者可以参与本所国债预发行交易。</w:t>
            </w:r>
            <w:r>
              <w:rPr>
                <w:rFonts w:ascii="宋体" w:hAnsi="宋体" w:hint="eastAsia"/>
                <w:b/>
                <w:bCs/>
                <w:szCs w:val="21"/>
              </w:rPr>
              <w:t>专业</w:t>
            </w:r>
            <w:r>
              <w:rPr>
                <w:rFonts w:ascii="宋体" w:hAnsi="宋体" w:hint="eastAsia"/>
                <w:szCs w:val="21"/>
              </w:rPr>
              <w:t>投资者中的机构投资者可以参与债券质押式回购的融资交易、</w:t>
            </w:r>
            <w:r>
              <w:rPr>
                <w:rFonts w:ascii="宋体" w:hAnsi="宋体" w:hint="eastAsia"/>
                <w:b/>
                <w:bCs/>
                <w:szCs w:val="21"/>
              </w:rPr>
              <w:t>债券质押式三方回购和</w:t>
            </w:r>
            <w:r>
              <w:rPr>
                <w:rFonts w:ascii="宋体" w:hAnsi="宋体" w:hint="eastAsia"/>
                <w:szCs w:val="21"/>
              </w:rPr>
              <w:t>债券质押式协议回购</w:t>
            </w:r>
            <w:r>
              <w:rPr>
                <w:rFonts w:ascii="宋体" w:hAnsi="宋体" w:hint="eastAsia"/>
                <w:b/>
                <w:bCs/>
                <w:szCs w:val="21"/>
              </w:rPr>
              <w:t>的融资和融券交易</w:t>
            </w:r>
            <w:r>
              <w:rPr>
                <w:rFonts w:ascii="宋体" w:hAnsi="宋体" w:hint="eastAsia"/>
                <w:szCs w:val="21"/>
              </w:rPr>
              <w:t>。</w:t>
            </w:r>
            <w:r>
              <w:rPr>
                <w:rFonts w:ascii="宋体" w:hAnsi="宋体" w:hint="eastAsia"/>
                <w:b/>
                <w:bCs/>
                <w:szCs w:val="21"/>
              </w:rPr>
              <w:t>专业</w:t>
            </w:r>
            <w:r>
              <w:rPr>
                <w:rFonts w:ascii="宋体" w:hAnsi="宋体" w:hint="eastAsia"/>
                <w:szCs w:val="21"/>
              </w:rPr>
              <w:t>投资者及</w:t>
            </w:r>
            <w:r>
              <w:rPr>
                <w:rFonts w:ascii="宋体" w:hAnsi="宋体" w:hint="eastAsia"/>
                <w:b/>
                <w:bCs/>
                <w:szCs w:val="21"/>
              </w:rPr>
              <w:t>普通</w:t>
            </w:r>
            <w:r>
              <w:rPr>
                <w:rFonts w:ascii="宋体" w:hAnsi="宋体" w:hint="eastAsia"/>
                <w:szCs w:val="21"/>
              </w:rPr>
              <w:t>投资者可以参与本所债券质押式回购的融券交易。</w:t>
            </w:r>
          </w:p>
        </w:tc>
      </w:tr>
      <w:tr w:rsidR="00852AB5" w:rsidTr="00852AB5">
        <w:trPr>
          <w:jc w:val="center"/>
        </w:trPr>
        <w:tc>
          <w:tcPr>
            <w:tcW w:w="6347" w:type="dxa"/>
          </w:tcPr>
          <w:p w:rsidR="00852AB5" w:rsidRDefault="00852AB5" w:rsidP="006D7B82">
            <w:pPr>
              <w:ind w:firstLineChars="200" w:firstLine="422"/>
              <w:jc w:val="center"/>
              <w:rPr>
                <w:rFonts w:ascii="宋体" w:hAnsi="宋体" w:cs="宋体"/>
                <w:color w:val="000000"/>
                <w:kern w:val="0"/>
                <w:szCs w:val="21"/>
              </w:rPr>
            </w:pPr>
            <w:r>
              <w:rPr>
                <w:rFonts w:ascii="宋体" w:hAnsi="宋体" w:hint="eastAsia"/>
                <w:b/>
                <w:szCs w:val="21"/>
              </w:rPr>
              <w:t>第三章 投资者适当性管理</w:t>
            </w:r>
          </w:p>
        </w:tc>
        <w:tc>
          <w:tcPr>
            <w:tcW w:w="6696" w:type="dxa"/>
          </w:tcPr>
          <w:p w:rsidR="00852AB5" w:rsidRDefault="00852AB5" w:rsidP="006D7B82">
            <w:pPr>
              <w:ind w:firstLineChars="200" w:firstLine="422"/>
              <w:jc w:val="center"/>
              <w:rPr>
                <w:rFonts w:ascii="宋体" w:hAnsi="宋体"/>
                <w:szCs w:val="21"/>
              </w:rPr>
            </w:pPr>
            <w:r>
              <w:rPr>
                <w:rFonts w:ascii="宋体" w:hAnsi="宋体" w:hint="eastAsia"/>
                <w:b/>
                <w:szCs w:val="21"/>
              </w:rPr>
              <w:t>第三章 投资者适当性管理</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第十三条（第一款） 发行人、承销机构、证券经营机构应当依照</w:t>
            </w:r>
            <w:r>
              <w:rPr>
                <w:rFonts w:ascii="宋体" w:hAnsi="宋体" w:cs="宋体" w:hint="eastAsia"/>
                <w:b/>
                <w:bCs/>
                <w:color w:val="FF0000"/>
                <w:kern w:val="0"/>
                <w:szCs w:val="21"/>
              </w:rPr>
              <w:t>《证券期货投资者适当性管理办法》</w:t>
            </w:r>
            <w:r>
              <w:rPr>
                <w:rFonts w:ascii="宋体" w:hAnsi="宋体" w:cs="宋体" w:hint="eastAsia"/>
                <w:color w:val="000000"/>
                <w:kern w:val="0"/>
                <w:szCs w:val="21"/>
              </w:rPr>
              <w:t>、本办法及相关行业协会自律规则规定，</w:t>
            </w:r>
            <w:r w:rsidRPr="00DB60D3">
              <w:rPr>
                <w:rFonts w:ascii="宋体" w:hAnsi="宋体" w:cs="宋体" w:hint="eastAsia"/>
                <w:bCs/>
                <w:kern w:val="0"/>
                <w:szCs w:val="21"/>
              </w:rPr>
              <w:t>采取</w:t>
            </w:r>
            <w:r>
              <w:rPr>
                <w:rFonts w:ascii="宋体" w:hAnsi="宋体" w:cs="宋体" w:hint="eastAsia"/>
                <w:color w:val="000000"/>
                <w:kern w:val="0"/>
                <w:szCs w:val="21"/>
              </w:rPr>
              <w:t xml:space="preserve">有效措施，确保债券投资者符合本所投资者适当性管理规定，并确认债券投资者具有债券投资的风险识别能力和承受能力。  </w:t>
            </w:r>
          </w:p>
          <w:p w:rsidR="00852AB5" w:rsidRDefault="00852AB5" w:rsidP="006D7B82">
            <w:pPr>
              <w:ind w:firstLineChars="200" w:firstLine="420"/>
              <w:rPr>
                <w:rFonts w:ascii="宋体" w:hAnsi="宋体" w:cs="宋体"/>
                <w:color w:val="000000"/>
                <w:kern w:val="0"/>
                <w:szCs w:val="21"/>
              </w:rPr>
            </w:pP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第十三条 发行人、证券经营机构应当依照</w:t>
            </w:r>
            <w:r w:rsidRPr="008B51B2">
              <w:rPr>
                <w:rFonts w:ascii="宋体" w:hAnsi="宋体" w:hint="eastAsia"/>
                <w:b/>
                <w:bCs/>
                <w:szCs w:val="21"/>
              </w:rPr>
              <w:t>《</w:t>
            </w:r>
            <w:r>
              <w:rPr>
                <w:rFonts w:ascii="宋体" w:hAnsi="宋体" w:hint="eastAsia"/>
                <w:b/>
                <w:bCs/>
                <w:szCs w:val="21"/>
              </w:rPr>
              <w:t>公司债券管理办法</w:t>
            </w:r>
            <w:r w:rsidRPr="008B51B2">
              <w:rPr>
                <w:rFonts w:ascii="宋体" w:hAnsi="宋体" w:hint="eastAsia"/>
                <w:b/>
                <w:bCs/>
                <w:szCs w:val="21"/>
              </w:rPr>
              <w:t>》</w:t>
            </w:r>
            <w:r>
              <w:rPr>
                <w:rFonts w:ascii="宋体" w:hAnsi="宋体" w:hint="eastAsia"/>
                <w:b/>
                <w:bCs/>
                <w:szCs w:val="21"/>
              </w:rPr>
              <w:t>《投资者适当性管理办法》《上海证券交易所投资者适当性管理办法》</w:t>
            </w:r>
            <w:r>
              <w:rPr>
                <w:rFonts w:ascii="宋体" w:hAnsi="宋体" w:hint="eastAsia"/>
                <w:szCs w:val="21"/>
              </w:rPr>
              <w:t xml:space="preserve">、本办法及相关行业协会自律规则规定，采取有效措施，确保债券投资者符合本所投资者适当性管理规定，并确认债券投资者具有债券投资的风险识别能力和承受能力。 </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第十三条（第二款）证券经营机构评估债券投资者风险识别和承受能力并告知不适合购买相关债券后，债券投资者仍要求购买的，证券经营机构应进一步了解其投资的资金来源，投资损失后的损失</w:t>
            </w:r>
            <w:r>
              <w:rPr>
                <w:rFonts w:ascii="宋体" w:hAnsi="宋体" w:cs="宋体" w:hint="eastAsia"/>
                <w:color w:val="000000"/>
                <w:kern w:val="0"/>
                <w:szCs w:val="21"/>
              </w:rPr>
              <w:lastRenderedPageBreak/>
              <w:t>计提、核销等承担损失方式，告知相关债券特别的风险点，就该债券风险高于其承受能力进行特别的书面风险警示，也可以暂缓向其销售产品或者提供服务，给予其更多的考虑时间，或者增加回访频次等。</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lastRenderedPageBreak/>
              <w:t>第十四条 证券经营机构评估债券投资者风险识别和承受能力并告知不适合购买相关债券后，债券投资者仍要求购买的，证券经营机构应当</w:t>
            </w:r>
            <w:r>
              <w:rPr>
                <w:rFonts w:ascii="宋体" w:hAnsi="宋体" w:hint="eastAsia"/>
                <w:b/>
                <w:bCs/>
                <w:szCs w:val="21"/>
              </w:rPr>
              <w:t>确认其不属于风险承受能力最低类别的投资者，并</w:t>
            </w:r>
            <w:r>
              <w:rPr>
                <w:rFonts w:ascii="宋体" w:hAnsi="宋体" w:hint="eastAsia"/>
                <w:szCs w:val="21"/>
              </w:rPr>
              <w:t>进一步了解其投资</w:t>
            </w:r>
            <w:r>
              <w:rPr>
                <w:rFonts w:ascii="宋体" w:hAnsi="宋体" w:hint="eastAsia"/>
                <w:szCs w:val="21"/>
              </w:rPr>
              <w:lastRenderedPageBreak/>
              <w:t>的资金来源，投资损失后的损失计提、核销等损失承担方式，告知相关债券特别的风险点，就该债券风险高于其承受能力进行特别的书面风险警示。</w:t>
            </w:r>
            <w:r>
              <w:rPr>
                <w:rFonts w:ascii="宋体" w:hAnsi="宋体" w:hint="eastAsia"/>
                <w:b/>
                <w:bCs/>
                <w:szCs w:val="21"/>
              </w:rPr>
              <w:t>投资者仍坚持购买的，证券经营机构可以向其销售相关产品或者提供相关服务，</w:t>
            </w:r>
            <w:r>
              <w:rPr>
                <w:rFonts w:ascii="宋体" w:hAnsi="宋体" w:hint="eastAsia"/>
                <w:szCs w:val="21"/>
              </w:rPr>
              <w:t>也可以暂缓向其销售产品或者提供服务，给予其更多的考虑时间，或者增加回访频次等。</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p>
        </w:tc>
        <w:tc>
          <w:tcPr>
            <w:tcW w:w="6696" w:type="dxa"/>
          </w:tcPr>
          <w:p w:rsidR="00852AB5" w:rsidRPr="00603BE4" w:rsidRDefault="00852AB5" w:rsidP="006D7B82">
            <w:pPr>
              <w:ind w:firstLineChars="200" w:firstLine="422"/>
              <w:rPr>
                <w:rFonts w:ascii="宋体" w:hAnsi="宋体"/>
                <w:b/>
                <w:szCs w:val="21"/>
              </w:rPr>
            </w:pPr>
            <w:r>
              <w:rPr>
                <w:rFonts w:ascii="宋体" w:hAnsi="宋体" w:hint="eastAsia"/>
                <w:b/>
                <w:szCs w:val="21"/>
              </w:rPr>
              <w:t>第十五</w:t>
            </w:r>
            <w:r w:rsidRPr="00603BE4">
              <w:rPr>
                <w:rFonts w:ascii="宋体" w:hAnsi="宋体" w:hint="eastAsia"/>
                <w:b/>
                <w:szCs w:val="21"/>
              </w:rPr>
              <w:t>条 证券经营机构应当对投资者参与债券交易的权限进行</w:t>
            </w:r>
            <w:r>
              <w:rPr>
                <w:rFonts w:ascii="宋体" w:hAnsi="宋体" w:hint="eastAsia"/>
                <w:b/>
                <w:szCs w:val="21"/>
              </w:rPr>
              <w:t>分类</w:t>
            </w:r>
            <w:r w:rsidRPr="00603BE4">
              <w:rPr>
                <w:rFonts w:ascii="宋体" w:hAnsi="宋体" w:hint="eastAsia"/>
                <w:b/>
                <w:szCs w:val="21"/>
              </w:rPr>
              <w:t>管理，并</w:t>
            </w:r>
            <w:r>
              <w:rPr>
                <w:rFonts w:ascii="宋体" w:hAnsi="宋体" w:hint="eastAsia"/>
                <w:b/>
                <w:szCs w:val="21"/>
              </w:rPr>
              <w:t>通过系统前端控制等方式</w:t>
            </w:r>
            <w:r w:rsidRPr="00603BE4">
              <w:rPr>
                <w:rFonts w:ascii="宋体" w:hAnsi="宋体" w:hint="eastAsia"/>
                <w:b/>
                <w:szCs w:val="21"/>
              </w:rPr>
              <w:t>对客户的债券交易委托指令进行</w:t>
            </w:r>
            <w:r>
              <w:rPr>
                <w:rFonts w:ascii="宋体" w:hAnsi="宋体" w:hint="eastAsia"/>
                <w:b/>
                <w:szCs w:val="21"/>
              </w:rPr>
              <w:t>管理</w:t>
            </w:r>
            <w:r w:rsidRPr="00603BE4">
              <w:rPr>
                <w:rFonts w:ascii="宋体" w:hAnsi="宋体" w:hint="eastAsia"/>
                <w:b/>
                <w:szCs w:val="21"/>
              </w:rPr>
              <w:t xml:space="preserve">，对不符合交易权限的交易委托予以拒绝。  </w:t>
            </w:r>
          </w:p>
        </w:tc>
      </w:tr>
      <w:tr w:rsidR="00852AB5" w:rsidTr="00852AB5">
        <w:trPr>
          <w:jc w:val="center"/>
        </w:trPr>
        <w:tc>
          <w:tcPr>
            <w:tcW w:w="6347" w:type="dxa"/>
          </w:tcPr>
          <w:p w:rsidR="00852AB5" w:rsidRPr="005F5F42"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第十五条（第一款） 证券经营机构应当建立债券市场投资者适当性管理制度，采取多种方式和途径开展投资者教育，帮助投资者熟悉本所债券市场的产品及相关规则，提示参与债券认购、交易可能面临的风险。</w:t>
            </w:r>
          </w:p>
        </w:tc>
        <w:tc>
          <w:tcPr>
            <w:tcW w:w="6696" w:type="dxa"/>
          </w:tcPr>
          <w:p w:rsidR="00852AB5" w:rsidRPr="00FB736C" w:rsidRDefault="00852AB5" w:rsidP="006D7B82">
            <w:pPr>
              <w:ind w:firstLineChars="200" w:firstLine="420"/>
              <w:rPr>
                <w:rFonts w:ascii="宋体" w:hAnsi="宋体"/>
                <w:szCs w:val="21"/>
              </w:rPr>
            </w:pPr>
            <w:r>
              <w:rPr>
                <w:rFonts w:ascii="宋体" w:hAnsi="宋体" w:hint="eastAsia"/>
                <w:szCs w:val="21"/>
              </w:rPr>
              <w:t>第十六条 证券经营机构应当建立债券市场投资者适当性管理制度，采取多种方式和途径开展投资者教育，帮助投资者熟悉本所债券市场的产品及相关规则，提示参与债券认购、交易可能面临的风险。</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第十四条 证券经营机构应当建立债券市场投资者适当性管理档案，记载客户开户时间、资产规模、信用状况以及风险承受能力等信息，并妥善保管相关资料。</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第十七条 证券经营机构应当建立债券市场投资者适当性管理档案，记载客户开户时间、资产规模、信用状况以及风险承受能力等信息，并妥善保管相关资料。</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p>
        </w:tc>
        <w:tc>
          <w:tcPr>
            <w:tcW w:w="6696" w:type="dxa"/>
          </w:tcPr>
          <w:p w:rsidR="00852AB5" w:rsidRPr="00D251DC" w:rsidRDefault="00852AB5" w:rsidP="006D7B82">
            <w:pPr>
              <w:ind w:firstLineChars="200" w:firstLine="422"/>
              <w:rPr>
                <w:rFonts w:ascii="宋体" w:hAnsi="宋体"/>
                <w:b/>
                <w:bCs/>
                <w:szCs w:val="21"/>
              </w:rPr>
            </w:pPr>
            <w:r>
              <w:rPr>
                <w:rFonts w:ascii="宋体" w:hAnsi="宋体" w:hint="eastAsia"/>
                <w:b/>
                <w:szCs w:val="21"/>
              </w:rPr>
              <w:t>第十八</w:t>
            </w:r>
            <w:r w:rsidRPr="00D251DC">
              <w:rPr>
                <w:rFonts w:ascii="宋体" w:hAnsi="宋体" w:hint="eastAsia"/>
                <w:b/>
                <w:szCs w:val="21"/>
              </w:rPr>
              <w:t>条 证券经营机构在销售债券产品或者提供相关服务时，应根据《</w:t>
            </w:r>
            <w:r>
              <w:rPr>
                <w:rFonts w:ascii="宋体" w:hAnsi="宋体" w:hint="eastAsia"/>
                <w:b/>
                <w:bCs/>
                <w:szCs w:val="21"/>
              </w:rPr>
              <w:t>投资者适当性管理办法</w:t>
            </w:r>
            <w:r w:rsidRPr="00D251DC">
              <w:rPr>
                <w:rFonts w:ascii="宋体" w:hAnsi="宋体" w:hint="eastAsia"/>
                <w:b/>
                <w:szCs w:val="21"/>
              </w:rPr>
              <w:t>》的规定，在信息告知、风险警示、适当性匹配等方面履行对普通投资者的特别保护义务。</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第十六条 证券经营机构应当根据相关规定和债券品种的风险特征、投资者风险识别能力和承受能力等实际情况制定债券市场投资者风险揭示书，风险揭示书应由投资者本人签署或盖章。</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直接持有或者租用本所交易单元的合格投资者无须签署风险揭示书，</w:t>
            </w:r>
            <w:r w:rsidRPr="002C2C6C">
              <w:rPr>
                <w:rFonts w:ascii="宋体" w:hAnsi="宋体" w:cs="宋体" w:hint="eastAsia"/>
                <w:color w:val="000000"/>
                <w:kern w:val="0"/>
                <w:szCs w:val="21"/>
                <w:highlight w:val="lightGray"/>
              </w:rPr>
              <w:t>可以直接参与债券的认购及交易。</w:t>
            </w:r>
          </w:p>
        </w:tc>
        <w:tc>
          <w:tcPr>
            <w:tcW w:w="6696" w:type="dxa"/>
          </w:tcPr>
          <w:p w:rsidR="00852AB5" w:rsidRPr="00D251DC" w:rsidRDefault="00852AB5" w:rsidP="006D7B82">
            <w:pPr>
              <w:ind w:firstLineChars="200" w:firstLine="420"/>
              <w:rPr>
                <w:rFonts w:ascii="宋体" w:hAnsi="宋体"/>
                <w:szCs w:val="21"/>
              </w:rPr>
            </w:pPr>
            <w:r>
              <w:rPr>
                <w:rFonts w:ascii="宋体" w:hAnsi="宋体" w:hint="eastAsia"/>
                <w:szCs w:val="21"/>
              </w:rPr>
              <w:t>第十九</w:t>
            </w:r>
            <w:r w:rsidRPr="00D251DC">
              <w:rPr>
                <w:rFonts w:ascii="宋体" w:hAnsi="宋体" w:hint="eastAsia"/>
                <w:szCs w:val="21"/>
              </w:rPr>
              <w:t>条 证券经营机构应当根据相关规定和债券品种的风险特征、投资者风险识别能力和承受能力等实际情况制定债券市场投资者风险揭示书。风险揭示书可以采用纸面或</w:t>
            </w:r>
            <w:r>
              <w:rPr>
                <w:rFonts w:ascii="宋体" w:hAnsi="宋体" w:hint="eastAsia"/>
                <w:szCs w:val="21"/>
              </w:rPr>
              <w:t>者</w:t>
            </w:r>
            <w:r w:rsidRPr="00D251DC">
              <w:rPr>
                <w:rFonts w:ascii="宋体" w:hAnsi="宋体" w:hint="eastAsia"/>
                <w:szCs w:val="21"/>
              </w:rPr>
              <w:t>电子形式，但应当由投资者本人签署或</w:t>
            </w:r>
            <w:r>
              <w:rPr>
                <w:rFonts w:ascii="宋体" w:hAnsi="宋体" w:hint="eastAsia"/>
                <w:szCs w:val="21"/>
              </w:rPr>
              <w:t>者</w:t>
            </w:r>
            <w:r w:rsidRPr="00D251DC">
              <w:rPr>
                <w:rFonts w:ascii="宋体" w:hAnsi="宋体" w:hint="eastAsia"/>
                <w:szCs w:val="21"/>
              </w:rPr>
              <w:t>盖章。</w:t>
            </w:r>
          </w:p>
          <w:p w:rsidR="00852AB5" w:rsidRPr="00D251DC" w:rsidRDefault="00852AB5" w:rsidP="006D7B82">
            <w:pPr>
              <w:ind w:firstLineChars="200" w:firstLine="420"/>
              <w:rPr>
                <w:rFonts w:ascii="宋体" w:hAnsi="宋体"/>
                <w:b/>
                <w:bCs/>
                <w:szCs w:val="21"/>
              </w:rPr>
            </w:pPr>
            <w:r w:rsidRPr="00D251DC">
              <w:rPr>
                <w:rFonts w:ascii="宋体" w:hAnsi="宋体" w:hint="eastAsia"/>
                <w:szCs w:val="21"/>
              </w:rPr>
              <w:t>直接持有或者租用本所交易单元的专业投资者无须签署风险揭示书。</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第十七条 申请人符合</w:t>
            </w:r>
            <w:r>
              <w:rPr>
                <w:rFonts w:ascii="宋体" w:hAnsi="宋体" w:hint="eastAsia"/>
                <w:b/>
                <w:bCs/>
                <w:color w:val="FF0000"/>
                <w:szCs w:val="21"/>
              </w:rPr>
              <w:t>合格</w:t>
            </w:r>
            <w:r>
              <w:rPr>
                <w:rFonts w:ascii="宋体" w:hAnsi="宋体" w:hint="eastAsia"/>
                <w:szCs w:val="21"/>
              </w:rPr>
              <w:t>投资者条件的，证券经营机构应当填写</w:t>
            </w:r>
            <w:r>
              <w:rPr>
                <w:rFonts w:ascii="宋体" w:hAnsi="宋体" w:hint="eastAsia"/>
                <w:b/>
                <w:bCs/>
                <w:color w:val="FF0000"/>
                <w:szCs w:val="21"/>
              </w:rPr>
              <w:t>合格</w:t>
            </w:r>
            <w:r>
              <w:rPr>
                <w:rFonts w:ascii="宋体" w:hAnsi="宋体" w:hint="eastAsia"/>
                <w:szCs w:val="21"/>
              </w:rPr>
              <w:t>投资者资格确认表，并于为申请人开通</w:t>
            </w:r>
            <w:r>
              <w:rPr>
                <w:rFonts w:ascii="宋体" w:hAnsi="宋体" w:hint="eastAsia"/>
                <w:b/>
                <w:bCs/>
                <w:color w:val="FF0000"/>
                <w:szCs w:val="21"/>
              </w:rPr>
              <w:t>合格</w:t>
            </w:r>
            <w:r>
              <w:rPr>
                <w:rFonts w:ascii="宋体" w:hAnsi="宋体" w:hint="eastAsia"/>
                <w:szCs w:val="21"/>
              </w:rPr>
              <w:t>投资者相关认购</w:t>
            </w:r>
            <w:r>
              <w:rPr>
                <w:rFonts w:ascii="宋体" w:hAnsi="宋体" w:hint="eastAsia"/>
                <w:szCs w:val="21"/>
              </w:rPr>
              <w:lastRenderedPageBreak/>
              <w:t>及交易权限的当日，通过本所</w:t>
            </w:r>
            <w:r>
              <w:rPr>
                <w:rFonts w:ascii="宋体" w:hAnsi="宋体" w:hint="eastAsia"/>
                <w:b/>
                <w:bCs/>
                <w:color w:val="FF0000"/>
                <w:szCs w:val="21"/>
              </w:rPr>
              <w:t>固定收益品种业务</w:t>
            </w:r>
            <w:r>
              <w:rPr>
                <w:rFonts w:ascii="宋体" w:hAnsi="宋体" w:hint="eastAsia"/>
                <w:szCs w:val="21"/>
              </w:rPr>
              <w:t>专区提交</w:t>
            </w:r>
            <w:r>
              <w:rPr>
                <w:rFonts w:ascii="宋体" w:hAnsi="宋体" w:hint="eastAsia"/>
                <w:b/>
                <w:bCs/>
                <w:color w:val="FF0000"/>
                <w:szCs w:val="21"/>
              </w:rPr>
              <w:t>合格</w:t>
            </w:r>
            <w:r>
              <w:rPr>
                <w:rFonts w:ascii="宋体" w:hAnsi="宋体" w:hint="eastAsia"/>
                <w:szCs w:val="21"/>
              </w:rPr>
              <w:t>投资者账户名单。</w:t>
            </w:r>
          </w:p>
        </w:tc>
        <w:tc>
          <w:tcPr>
            <w:tcW w:w="6696" w:type="dxa"/>
          </w:tcPr>
          <w:p w:rsidR="00852AB5" w:rsidRPr="00C97858" w:rsidRDefault="00852AB5" w:rsidP="006D7B82">
            <w:pPr>
              <w:ind w:firstLineChars="200" w:firstLine="420"/>
              <w:rPr>
                <w:rFonts w:ascii="宋体" w:hAnsi="宋体"/>
                <w:szCs w:val="21"/>
              </w:rPr>
            </w:pPr>
            <w:r w:rsidRPr="00C97858">
              <w:rPr>
                <w:rFonts w:ascii="宋体" w:hAnsi="宋体" w:hint="eastAsia"/>
                <w:szCs w:val="21"/>
              </w:rPr>
              <w:lastRenderedPageBreak/>
              <w:t>第二十条 申请人符合</w:t>
            </w:r>
            <w:r w:rsidRPr="00C97858">
              <w:rPr>
                <w:rFonts w:ascii="宋体" w:hAnsi="宋体" w:hint="eastAsia"/>
                <w:b/>
                <w:szCs w:val="21"/>
              </w:rPr>
              <w:t>专业</w:t>
            </w:r>
            <w:r w:rsidRPr="00C97858">
              <w:rPr>
                <w:rFonts w:ascii="宋体" w:hAnsi="宋体" w:hint="eastAsia"/>
                <w:szCs w:val="21"/>
              </w:rPr>
              <w:t>投资者条件的，证券经营机构应当填写专业投资者资格确认表，并于为申请人开通</w:t>
            </w:r>
            <w:r w:rsidRPr="00C97858">
              <w:rPr>
                <w:rFonts w:ascii="宋体" w:hAnsi="宋体" w:hint="eastAsia"/>
                <w:b/>
                <w:szCs w:val="21"/>
              </w:rPr>
              <w:t>专业</w:t>
            </w:r>
            <w:r w:rsidRPr="00C97858">
              <w:rPr>
                <w:rFonts w:ascii="宋体" w:hAnsi="宋体" w:hint="eastAsia"/>
                <w:szCs w:val="21"/>
              </w:rPr>
              <w:t>投资者相关认购及交易</w:t>
            </w:r>
            <w:r w:rsidRPr="00C97858">
              <w:rPr>
                <w:rFonts w:ascii="宋体" w:hAnsi="宋体" w:hint="eastAsia"/>
                <w:szCs w:val="21"/>
              </w:rPr>
              <w:lastRenderedPageBreak/>
              <w:t>权限的当日，通过本所</w:t>
            </w:r>
            <w:r w:rsidRPr="00C97858">
              <w:rPr>
                <w:rFonts w:ascii="宋体" w:hAnsi="宋体" w:hint="eastAsia"/>
                <w:b/>
                <w:szCs w:val="21"/>
              </w:rPr>
              <w:t>网站相关专区</w:t>
            </w:r>
            <w:r w:rsidRPr="00C97858">
              <w:rPr>
                <w:rFonts w:ascii="宋体" w:hAnsi="宋体" w:hint="eastAsia"/>
                <w:szCs w:val="21"/>
              </w:rPr>
              <w:t>提交</w:t>
            </w:r>
            <w:r w:rsidRPr="00C97858">
              <w:rPr>
                <w:rFonts w:ascii="宋体" w:hAnsi="宋体" w:hint="eastAsia"/>
                <w:b/>
                <w:szCs w:val="21"/>
              </w:rPr>
              <w:t>专业</w:t>
            </w:r>
            <w:r w:rsidRPr="00C97858">
              <w:rPr>
                <w:rFonts w:ascii="宋体" w:hAnsi="宋体" w:hint="eastAsia"/>
                <w:szCs w:val="21"/>
              </w:rPr>
              <w:t>投资者账户名单。</w:t>
            </w:r>
          </w:p>
          <w:p w:rsidR="00852AB5" w:rsidRPr="00C97858" w:rsidRDefault="00852AB5" w:rsidP="006D7B82">
            <w:pPr>
              <w:ind w:firstLineChars="200" w:firstLine="420"/>
              <w:rPr>
                <w:rFonts w:ascii="宋体" w:hAnsi="宋体"/>
                <w:szCs w:val="21"/>
              </w:rPr>
            </w:pPr>
            <w:r w:rsidRPr="00C97858">
              <w:rPr>
                <w:rFonts w:ascii="宋体" w:hAnsi="宋体" w:hint="eastAsia"/>
                <w:szCs w:val="21"/>
              </w:rPr>
              <w:t>直接持有或者租用本所交易单元的专业投资者在参与债券认购及交易前，需通过本所</w:t>
            </w:r>
            <w:r w:rsidRPr="00C97858">
              <w:rPr>
                <w:rFonts w:ascii="宋体" w:hAnsi="宋体" w:hint="eastAsia"/>
                <w:b/>
                <w:szCs w:val="21"/>
              </w:rPr>
              <w:t>网站相关专区</w:t>
            </w:r>
            <w:r w:rsidRPr="00C97858">
              <w:rPr>
                <w:rFonts w:ascii="宋体" w:hAnsi="宋体" w:hint="eastAsia"/>
                <w:szCs w:val="21"/>
              </w:rPr>
              <w:t>提交账户名单。</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lastRenderedPageBreak/>
              <w:t>第十八条 证券经营机构应当动态跟踪和持续了解</w:t>
            </w:r>
            <w:r>
              <w:rPr>
                <w:rFonts w:ascii="宋体" w:hAnsi="宋体" w:hint="eastAsia"/>
                <w:b/>
                <w:bCs/>
                <w:color w:val="FF0000"/>
                <w:szCs w:val="21"/>
              </w:rPr>
              <w:t>合格</w:t>
            </w:r>
            <w:r>
              <w:rPr>
                <w:rFonts w:ascii="宋体" w:hAnsi="宋体" w:hint="eastAsia"/>
                <w:szCs w:val="21"/>
              </w:rPr>
              <w:t>投资者条件，至少每两年对投资者进行一次后续资格评估，根据评估情况更新</w:t>
            </w:r>
            <w:r>
              <w:rPr>
                <w:rFonts w:ascii="宋体" w:hAnsi="宋体" w:hint="eastAsia"/>
                <w:b/>
                <w:bCs/>
                <w:color w:val="FF0000"/>
                <w:szCs w:val="21"/>
              </w:rPr>
              <w:t>合格</w:t>
            </w:r>
            <w:r>
              <w:rPr>
                <w:rFonts w:ascii="宋体" w:hAnsi="宋体" w:hint="eastAsia"/>
                <w:szCs w:val="21"/>
              </w:rPr>
              <w:t>投资者名单，并于当日通过本所网站提交更新的合格投资者账户名单。</w:t>
            </w:r>
          </w:p>
        </w:tc>
        <w:tc>
          <w:tcPr>
            <w:tcW w:w="6696" w:type="dxa"/>
          </w:tcPr>
          <w:p w:rsidR="00852AB5" w:rsidRPr="00C97858" w:rsidRDefault="00852AB5" w:rsidP="006D7B82">
            <w:pPr>
              <w:ind w:firstLineChars="200" w:firstLine="420"/>
              <w:rPr>
                <w:rFonts w:ascii="宋体" w:hAnsi="宋体"/>
                <w:szCs w:val="21"/>
              </w:rPr>
            </w:pPr>
            <w:r w:rsidRPr="00C97858">
              <w:rPr>
                <w:rFonts w:ascii="宋体" w:hAnsi="宋体" w:hint="eastAsia"/>
                <w:szCs w:val="21"/>
              </w:rPr>
              <w:t>第二十</w:t>
            </w:r>
            <w:r>
              <w:rPr>
                <w:rFonts w:ascii="宋体" w:hAnsi="宋体" w:hint="eastAsia"/>
                <w:szCs w:val="21"/>
              </w:rPr>
              <w:t>一</w:t>
            </w:r>
            <w:r w:rsidRPr="00C97858">
              <w:rPr>
                <w:rFonts w:ascii="宋体" w:hAnsi="宋体" w:hint="eastAsia"/>
                <w:szCs w:val="21"/>
              </w:rPr>
              <w:t>条 证券经营机构应当动态跟踪和持续了解</w:t>
            </w:r>
            <w:r w:rsidRPr="00C97858">
              <w:rPr>
                <w:rFonts w:ascii="宋体" w:hAnsi="宋体" w:hint="eastAsia"/>
                <w:b/>
                <w:bCs/>
                <w:szCs w:val="21"/>
              </w:rPr>
              <w:t>专业</w:t>
            </w:r>
            <w:r w:rsidRPr="00C97858">
              <w:rPr>
                <w:rFonts w:ascii="宋体" w:hAnsi="宋体" w:hint="eastAsia"/>
                <w:szCs w:val="21"/>
              </w:rPr>
              <w:t>投资者条件，至少每两年对投资者进行一次后续资格评估，根据评估情况更新</w:t>
            </w:r>
            <w:r w:rsidRPr="00C97858">
              <w:rPr>
                <w:rFonts w:ascii="宋体" w:hAnsi="宋体" w:hint="eastAsia"/>
                <w:b/>
                <w:bCs/>
                <w:szCs w:val="21"/>
              </w:rPr>
              <w:t>专业</w:t>
            </w:r>
            <w:r w:rsidRPr="00C97858">
              <w:rPr>
                <w:rFonts w:ascii="宋体" w:hAnsi="宋体" w:hint="eastAsia"/>
                <w:szCs w:val="21"/>
              </w:rPr>
              <w:t>投资者名单，并于当日通过本所网站提交更新的专业投资者账户名单。</w:t>
            </w:r>
          </w:p>
        </w:tc>
      </w:tr>
      <w:tr w:rsidR="00852AB5" w:rsidRPr="00C44941"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第十九条 可参与债券交易的投资者范围根据本所</w:t>
            </w:r>
            <w:r>
              <w:rPr>
                <w:rFonts w:ascii="宋体" w:hAnsi="宋体" w:cs="宋体" w:hint="eastAsia"/>
                <w:b/>
                <w:bCs/>
                <w:color w:val="FF0000"/>
                <w:kern w:val="0"/>
                <w:szCs w:val="21"/>
              </w:rPr>
              <w:t>《公司债券上市规则》等相关</w:t>
            </w:r>
            <w:r>
              <w:rPr>
                <w:rFonts w:ascii="宋体" w:hAnsi="宋体" w:cs="宋体" w:hint="eastAsia"/>
                <w:color w:val="000000"/>
                <w:kern w:val="0"/>
                <w:szCs w:val="21"/>
              </w:rPr>
              <w:t>规定和本办法第十一条规定进行调整的，证券经营机构应当在调整事项披露日及时调整投资者参与该债券交易的权限，履行投资者适当性管理职责。</w:t>
            </w:r>
          </w:p>
        </w:tc>
        <w:tc>
          <w:tcPr>
            <w:tcW w:w="6696" w:type="dxa"/>
          </w:tcPr>
          <w:p w:rsidR="00852AB5" w:rsidRPr="009876FE" w:rsidRDefault="00852AB5" w:rsidP="006D7B82">
            <w:pPr>
              <w:ind w:firstLineChars="200" w:firstLine="420"/>
              <w:rPr>
                <w:rFonts w:ascii="宋体" w:hAnsi="宋体"/>
                <w:b/>
                <w:bCs/>
                <w:szCs w:val="21"/>
              </w:rPr>
            </w:pPr>
            <w:r>
              <w:rPr>
                <w:rFonts w:ascii="宋体" w:hAnsi="宋体" w:hint="eastAsia"/>
                <w:szCs w:val="21"/>
              </w:rPr>
              <w:t>第二十二</w:t>
            </w:r>
            <w:r w:rsidRPr="009876FE">
              <w:rPr>
                <w:rFonts w:ascii="宋体" w:hAnsi="宋体" w:hint="eastAsia"/>
                <w:szCs w:val="21"/>
              </w:rPr>
              <w:t>条 可参与债券交易的投资者范围根据本所</w:t>
            </w:r>
            <w:r w:rsidRPr="009876FE">
              <w:rPr>
                <w:rFonts w:ascii="宋体" w:hAnsi="宋体" w:hint="eastAsia"/>
                <w:b/>
                <w:bCs/>
                <w:szCs w:val="21"/>
              </w:rPr>
              <w:t>相关业务规则</w:t>
            </w:r>
            <w:r w:rsidRPr="009876FE">
              <w:rPr>
                <w:rFonts w:ascii="宋体" w:hAnsi="宋体" w:hint="eastAsia"/>
                <w:szCs w:val="21"/>
              </w:rPr>
              <w:t>规定和本办法第十</w:t>
            </w:r>
            <w:r>
              <w:rPr>
                <w:rFonts w:ascii="宋体" w:hAnsi="宋体" w:hint="eastAsia"/>
                <w:szCs w:val="21"/>
              </w:rPr>
              <w:t>一</w:t>
            </w:r>
            <w:r w:rsidRPr="009876FE">
              <w:rPr>
                <w:rFonts w:ascii="宋体" w:hAnsi="宋体" w:hint="eastAsia"/>
                <w:szCs w:val="21"/>
              </w:rPr>
              <w:t>条规定进行调整的，证券经营机构应当在调整事项披露日及时调整投资者参与该债券交易的权限，履行投资者适当性管理职责。</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第二十条 证券经营机构应当根据本所相关规则对客户的债券认购及交易活动进行督导，发现存在异常行为和涉嫌违法违规行为的，应当采取有效手段及时制止，并及时向本所报告。</w:t>
            </w:r>
          </w:p>
        </w:tc>
        <w:tc>
          <w:tcPr>
            <w:tcW w:w="6696" w:type="dxa"/>
          </w:tcPr>
          <w:p w:rsidR="00852AB5" w:rsidRDefault="00852AB5" w:rsidP="006D7B82">
            <w:pPr>
              <w:ind w:firstLineChars="200" w:firstLine="420"/>
              <w:rPr>
                <w:rFonts w:ascii="宋体" w:hAnsi="宋体"/>
                <w:b/>
                <w:bCs/>
                <w:szCs w:val="21"/>
              </w:rPr>
            </w:pPr>
            <w:r>
              <w:rPr>
                <w:rFonts w:ascii="宋体" w:hAnsi="宋体" w:hint="eastAsia"/>
                <w:szCs w:val="21"/>
              </w:rPr>
              <w:t>第二十三条 证券经营机构应当根据本所相关规则对客户的债券认购及交易活动进行督导，发现存在异常行为和涉嫌违法违规行为的，应当采取有效手段及时制止，并及时向本所报告。</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第二十一条 本所可以对证券经营机构的投资者适当性管理制度及向本所报备的</w:t>
            </w:r>
            <w:r>
              <w:rPr>
                <w:rFonts w:ascii="宋体" w:hAnsi="宋体" w:cs="宋体" w:hint="eastAsia"/>
                <w:b/>
                <w:bCs/>
                <w:color w:val="FF0000"/>
                <w:kern w:val="0"/>
                <w:szCs w:val="21"/>
              </w:rPr>
              <w:t>合格</w:t>
            </w:r>
            <w:r>
              <w:rPr>
                <w:rFonts w:ascii="宋体" w:hAnsi="宋体" w:cs="宋体" w:hint="eastAsia"/>
                <w:color w:val="000000"/>
                <w:kern w:val="0"/>
                <w:szCs w:val="21"/>
              </w:rPr>
              <w:t>投资者名单进行检查。证券经营机构应当配合本所的检查，如实提供相关资料。本所发现有不符合合格投资者条件的，可以要求证券经营机构调整</w:t>
            </w:r>
            <w:r>
              <w:rPr>
                <w:rFonts w:ascii="宋体" w:hAnsi="宋体" w:cs="宋体" w:hint="eastAsia"/>
                <w:b/>
                <w:bCs/>
                <w:color w:val="FF0000"/>
                <w:kern w:val="0"/>
                <w:szCs w:val="21"/>
              </w:rPr>
              <w:t>合格</w:t>
            </w:r>
            <w:r>
              <w:rPr>
                <w:rFonts w:ascii="宋体" w:hAnsi="宋体" w:cs="宋体" w:hint="eastAsia"/>
                <w:color w:val="000000"/>
                <w:kern w:val="0"/>
                <w:szCs w:val="21"/>
              </w:rPr>
              <w:t>投资者名单。</w:t>
            </w:r>
          </w:p>
        </w:tc>
        <w:tc>
          <w:tcPr>
            <w:tcW w:w="6696" w:type="dxa"/>
          </w:tcPr>
          <w:p w:rsidR="00852AB5" w:rsidRDefault="00852AB5" w:rsidP="006D7B82">
            <w:pPr>
              <w:ind w:firstLineChars="200" w:firstLine="420"/>
              <w:rPr>
                <w:rFonts w:ascii="宋体" w:hAnsi="宋体"/>
                <w:b/>
                <w:bCs/>
                <w:szCs w:val="21"/>
              </w:rPr>
            </w:pPr>
            <w:r>
              <w:rPr>
                <w:rFonts w:ascii="宋体" w:hAnsi="宋体" w:hint="eastAsia"/>
                <w:szCs w:val="21"/>
              </w:rPr>
              <w:t>第二十四条 本所可以对证券经营机构的投资者适当性管理制度及向本所报备的</w:t>
            </w:r>
            <w:r>
              <w:rPr>
                <w:rFonts w:ascii="宋体" w:hAnsi="宋体" w:hint="eastAsia"/>
                <w:b/>
                <w:bCs/>
                <w:szCs w:val="21"/>
              </w:rPr>
              <w:t>专业</w:t>
            </w:r>
            <w:r>
              <w:rPr>
                <w:rFonts w:ascii="宋体" w:hAnsi="宋体" w:hint="eastAsia"/>
                <w:szCs w:val="21"/>
              </w:rPr>
              <w:t>投资者名单进行检查。证券经营机构应当配合本所的检查，如实提供相关资料。本所发现有不符合专业投资者条件的，可以要求证券经营机构调整</w:t>
            </w:r>
            <w:r>
              <w:rPr>
                <w:rFonts w:ascii="宋体" w:hAnsi="宋体" w:hint="eastAsia"/>
                <w:b/>
                <w:bCs/>
                <w:szCs w:val="21"/>
              </w:rPr>
              <w:t>专业</w:t>
            </w:r>
            <w:r>
              <w:rPr>
                <w:rFonts w:ascii="宋体" w:hAnsi="宋体" w:hint="eastAsia"/>
                <w:szCs w:val="21"/>
              </w:rPr>
              <w:t>投资者名单。</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第二十二条 投资者应当配合证券经营机构的投资者适当性管理工作，如实提供有效证明资料，不得采用提供虚假材料等手段规避投资者适当性管理要求。投资者所提供的信息发生重要变化、可能影响其分类的，应当及时告知证券经营机构。</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投资者不按照规定提供相关信息，提供信息不真实、不准确、不完整的，应当依法承担相应法律责任，证券经营机构应当告知其后果，并拒绝向其销售产品或者提供服务。</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投资者不得以不符合投资者适当性标准为由拒绝承担认购和交</w:t>
            </w:r>
            <w:r>
              <w:rPr>
                <w:rFonts w:ascii="宋体" w:hAnsi="宋体" w:cs="宋体" w:hint="eastAsia"/>
                <w:color w:val="000000"/>
                <w:kern w:val="0"/>
                <w:szCs w:val="21"/>
              </w:rPr>
              <w:lastRenderedPageBreak/>
              <w:t>易债券的履约责任。</w:t>
            </w:r>
          </w:p>
        </w:tc>
        <w:tc>
          <w:tcPr>
            <w:tcW w:w="6696"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第二十五条 投资者应当配合证券经营机构的投资者适当性管理工作，如实提供有效证明资料，不得采用提供虚假材料等手段规避投资者适当性管理要求。投资者所提供的信息发生重要变化、可能影响其分类的，应当及时告知证券经营机构。</w:t>
            </w:r>
          </w:p>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投资者不按照规定提供相关信息，提供信息不真实、不准确、不完整的，应当依法承担相应法律责任，证券经营机构应当告知其后果，并拒绝向其销售产品或者提供服务。</w:t>
            </w:r>
          </w:p>
          <w:p w:rsidR="00852AB5" w:rsidRDefault="00852AB5" w:rsidP="006D7B82">
            <w:pPr>
              <w:ind w:firstLineChars="200" w:firstLine="420"/>
              <w:rPr>
                <w:rFonts w:ascii="宋体" w:hAnsi="宋体"/>
                <w:b/>
                <w:bCs/>
                <w:szCs w:val="21"/>
              </w:rPr>
            </w:pPr>
            <w:r>
              <w:rPr>
                <w:rFonts w:ascii="宋体" w:hAnsi="宋体" w:cs="宋体" w:hint="eastAsia"/>
                <w:color w:val="000000"/>
                <w:kern w:val="0"/>
                <w:szCs w:val="21"/>
              </w:rPr>
              <w:t>投资者不得以不符合投资者适当性标准为由拒绝承担认购和交易</w:t>
            </w:r>
            <w:r>
              <w:rPr>
                <w:rFonts w:ascii="宋体" w:hAnsi="宋体" w:cs="宋体" w:hint="eastAsia"/>
                <w:color w:val="000000"/>
                <w:kern w:val="0"/>
                <w:szCs w:val="21"/>
              </w:rPr>
              <w:lastRenderedPageBreak/>
              <w:t>债券的履约责任。</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lastRenderedPageBreak/>
              <w:t>第十五条（第二款）证券经营机构</w:t>
            </w:r>
            <w:r>
              <w:rPr>
                <w:rFonts w:ascii="宋体" w:hAnsi="宋体" w:cs="宋体" w:hint="eastAsia"/>
                <w:b/>
                <w:bCs/>
                <w:color w:val="FF0000"/>
                <w:kern w:val="0"/>
                <w:szCs w:val="21"/>
              </w:rPr>
              <w:t>与公众投资者</w:t>
            </w:r>
            <w:r>
              <w:rPr>
                <w:rFonts w:ascii="宋体" w:hAnsi="宋体" w:cs="宋体" w:hint="eastAsia"/>
                <w:color w:val="000000"/>
                <w:kern w:val="0"/>
                <w:szCs w:val="21"/>
              </w:rPr>
              <w:t>发生纠纷的，</w:t>
            </w:r>
            <w:r>
              <w:rPr>
                <w:rFonts w:ascii="宋体" w:hAnsi="宋体" w:cs="宋体" w:hint="eastAsia"/>
                <w:color w:val="000000"/>
                <w:kern w:val="0"/>
                <w:szCs w:val="21"/>
                <w:highlight w:val="lightGray"/>
              </w:rPr>
              <w:t>证券经营机构应提供相关资料，证明其已向投资者履行相应义务。</w:t>
            </w:r>
          </w:p>
        </w:tc>
        <w:tc>
          <w:tcPr>
            <w:tcW w:w="6696" w:type="dxa"/>
          </w:tcPr>
          <w:p w:rsidR="00852AB5" w:rsidRDefault="00852AB5" w:rsidP="006D7B82">
            <w:pPr>
              <w:ind w:firstLineChars="200" w:firstLine="420"/>
              <w:rPr>
                <w:rFonts w:ascii="宋体" w:hAnsi="宋体"/>
                <w:b/>
                <w:bCs/>
                <w:szCs w:val="21"/>
              </w:rPr>
            </w:pPr>
            <w:r>
              <w:rPr>
                <w:rFonts w:ascii="宋体" w:hAnsi="宋体" w:hint="eastAsia"/>
                <w:szCs w:val="21"/>
              </w:rPr>
              <w:t xml:space="preserve">第二十六条 </w:t>
            </w:r>
            <w:r>
              <w:rPr>
                <w:rFonts w:ascii="宋体" w:hAnsi="宋体" w:hint="eastAsia"/>
                <w:b/>
                <w:bCs/>
                <w:szCs w:val="21"/>
              </w:rPr>
              <w:t>证券经营机构应当妥善处理适当性相关纠纷。投资</w:t>
            </w:r>
            <w:r w:rsidRPr="00244081">
              <w:rPr>
                <w:rFonts w:ascii="宋体" w:hAnsi="宋体" w:hint="eastAsia"/>
                <w:b/>
                <w:bCs/>
                <w:szCs w:val="21"/>
              </w:rPr>
              <w:t>者与</w:t>
            </w:r>
            <w:r w:rsidRPr="00244081">
              <w:rPr>
                <w:rFonts w:ascii="宋体" w:hAnsi="宋体" w:hint="eastAsia"/>
                <w:szCs w:val="21"/>
              </w:rPr>
              <w:t>证券公司发生纠纷的，</w:t>
            </w:r>
            <w:r w:rsidRPr="00244081">
              <w:rPr>
                <w:rFonts w:ascii="宋体" w:hAnsi="宋体" w:hint="eastAsia"/>
                <w:b/>
                <w:bCs/>
                <w:szCs w:val="21"/>
              </w:rPr>
              <w:t>双方可以向投资者保护机构申</w:t>
            </w:r>
            <w:r>
              <w:rPr>
                <w:rFonts w:ascii="宋体" w:hAnsi="宋体" w:hint="eastAsia"/>
                <w:b/>
                <w:bCs/>
                <w:szCs w:val="21"/>
              </w:rPr>
              <w:t>请调解。普通投资者提出调解请求的，证券公司不得拒绝。</w:t>
            </w:r>
          </w:p>
          <w:p w:rsidR="00852AB5" w:rsidRDefault="00852AB5" w:rsidP="006D7B82">
            <w:pPr>
              <w:ind w:firstLineChars="200" w:firstLine="422"/>
              <w:rPr>
                <w:rFonts w:ascii="宋体" w:hAnsi="宋体"/>
                <w:szCs w:val="21"/>
              </w:rPr>
            </w:pPr>
            <w:r>
              <w:rPr>
                <w:rFonts w:ascii="宋体" w:hAnsi="宋体" w:hint="eastAsia"/>
                <w:b/>
                <w:bCs/>
                <w:szCs w:val="21"/>
              </w:rPr>
              <w:t>普通投资者与证券公司发生适当性纠纷的，证券公司应当证明其行为符合法律、行政法规以及国务院证券监督管理机构的规定，不存在误导、欺诈等情形。</w:t>
            </w:r>
          </w:p>
        </w:tc>
      </w:tr>
      <w:tr w:rsidR="00852AB5" w:rsidTr="00852AB5">
        <w:trPr>
          <w:jc w:val="center"/>
        </w:trPr>
        <w:tc>
          <w:tcPr>
            <w:tcW w:w="6347" w:type="dxa"/>
          </w:tcPr>
          <w:p w:rsidR="00852AB5" w:rsidRDefault="00852AB5" w:rsidP="006D7B82">
            <w:pPr>
              <w:ind w:firstLineChars="200" w:firstLine="420"/>
              <w:rPr>
                <w:rFonts w:ascii="宋体" w:hAnsi="宋体" w:cs="宋体"/>
                <w:color w:val="000000"/>
                <w:kern w:val="0"/>
                <w:szCs w:val="21"/>
              </w:rPr>
            </w:pPr>
            <w:r>
              <w:rPr>
                <w:rFonts w:ascii="宋体" w:hAnsi="宋体" w:cs="宋体" w:hint="eastAsia"/>
                <w:color w:val="000000"/>
                <w:kern w:val="0"/>
                <w:szCs w:val="21"/>
              </w:rPr>
              <w:t>第二十三条 发行人、承销机构、证券经营机构违反投资者适当性管理要求的，本所可以根据相关规定实施自律监管措施和纪律处分。</w:t>
            </w:r>
          </w:p>
        </w:tc>
        <w:tc>
          <w:tcPr>
            <w:tcW w:w="6696" w:type="dxa"/>
          </w:tcPr>
          <w:p w:rsidR="00852AB5" w:rsidRDefault="00852AB5" w:rsidP="00D60EFE">
            <w:pPr>
              <w:ind w:firstLineChars="200" w:firstLine="420"/>
              <w:rPr>
                <w:rFonts w:ascii="宋体" w:hAnsi="宋体"/>
                <w:b/>
                <w:bCs/>
                <w:szCs w:val="21"/>
              </w:rPr>
            </w:pPr>
            <w:r>
              <w:rPr>
                <w:rFonts w:ascii="宋体" w:hAnsi="宋体" w:cs="宋体" w:hint="eastAsia"/>
                <w:color w:val="000000"/>
                <w:kern w:val="0"/>
                <w:szCs w:val="21"/>
              </w:rPr>
              <w:t>第二十七条 发行人、证券经营机构违反投资者适当性管理要求的，本所可以根据相关规定实施自律监管措施和纪律处分。</w:t>
            </w:r>
          </w:p>
        </w:tc>
      </w:tr>
      <w:tr w:rsidR="00852AB5" w:rsidTr="00852AB5">
        <w:trPr>
          <w:jc w:val="center"/>
        </w:trPr>
        <w:tc>
          <w:tcPr>
            <w:tcW w:w="6347" w:type="dxa"/>
          </w:tcPr>
          <w:p w:rsidR="00852AB5" w:rsidRDefault="00852AB5" w:rsidP="006D7B82">
            <w:pPr>
              <w:ind w:firstLineChars="200" w:firstLine="422"/>
              <w:jc w:val="center"/>
              <w:rPr>
                <w:rFonts w:ascii="宋体" w:hAnsi="宋体" w:cs="宋体"/>
                <w:color w:val="000000"/>
                <w:kern w:val="0"/>
                <w:szCs w:val="21"/>
              </w:rPr>
            </w:pPr>
            <w:r>
              <w:rPr>
                <w:rFonts w:ascii="宋体" w:hAnsi="宋体" w:hint="eastAsia"/>
                <w:b/>
                <w:szCs w:val="21"/>
              </w:rPr>
              <w:t>第四章 附则</w:t>
            </w:r>
          </w:p>
        </w:tc>
        <w:tc>
          <w:tcPr>
            <w:tcW w:w="6696" w:type="dxa"/>
          </w:tcPr>
          <w:p w:rsidR="00852AB5" w:rsidRDefault="00852AB5" w:rsidP="006D7B82">
            <w:pPr>
              <w:ind w:firstLineChars="200" w:firstLine="422"/>
              <w:jc w:val="center"/>
              <w:rPr>
                <w:rFonts w:ascii="宋体" w:hAnsi="宋体"/>
                <w:b/>
                <w:bCs/>
                <w:szCs w:val="21"/>
              </w:rPr>
            </w:pPr>
            <w:r>
              <w:rPr>
                <w:rFonts w:ascii="宋体" w:hAnsi="宋体" w:hint="eastAsia"/>
                <w:b/>
                <w:szCs w:val="21"/>
              </w:rPr>
              <w:t>第四章 附则</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第二十四条 本所可以根据市场发展情况，调整</w:t>
            </w:r>
            <w:r>
              <w:rPr>
                <w:rFonts w:ascii="宋体" w:hAnsi="宋体" w:hint="eastAsia"/>
                <w:b/>
                <w:bCs/>
                <w:color w:val="FF0000"/>
                <w:szCs w:val="21"/>
              </w:rPr>
              <w:t>合格</w:t>
            </w:r>
            <w:r>
              <w:rPr>
                <w:rFonts w:ascii="宋体" w:hAnsi="宋体" w:hint="eastAsia"/>
                <w:szCs w:val="21"/>
              </w:rPr>
              <w:t>投资者和</w:t>
            </w:r>
            <w:r>
              <w:rPr>
                <w:rFonts w:ascii="宋体" w:hAnsi="宋体" w:hint="eastAsia"/>
                <w:b/>
                <w:bCs/>
                <w:color w:val="FF0000"/>
                <w:szCs w:val="21"/>
              </w:rPr>
              <w:t>公众</w:t>
            </w:r>
            <w:r>
              <w:rPr>
                <w:rFonts w:ascii="宋体" w:hAnsi="宋体" w:hint="eastAsia"/>
                <w:szCs w:val="21"/>
              </w:rPr>
              <w:t>投资者参与认购及交易的债券产品范围。法律、行政法规、规章及本所对投资者适当性另有规定的，从其规定。</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第二十八条 本所可以根据市场发展情况，调整</w:t>
            </w:r>
            <w:r>
              <w:rPr>
                <w:rFonts w:ascii="宋体" w:hAnsi="宋体" w:hint="eastAsia"/>
                <w:b/>
                <w:bCs/>
                <w:szCs w:val="21"/>
              </w:rPr>
              <w:t>专业</w:t>
            </w:r>
            <w:r>
              <w:rPr>
                <w:rFonts w:ascii="宋体" w:hAnsi="宋体" w:hint="eastAsia"/>
                <w:szCs w:val="21"/>
              </w:rPr>
              <w:t>投资者和</w:t>
            </w:r>
            <w:r>
              <w:rPr>
                <w:rFonts w:ascii="宋体" w:hAnsi="宋体" w:hint="eastAsia"/>
                <w:b/>
                <w:bCs/>
                <w:szCs w:val="21"/>
              </w:rPr>
              <w:t>普通</w:t>
            </w:r>
            <w:r>
              <w:rPr>
                <w:rFonts w:ascii="宋体" w:hAnsi="宋体" w:hint="eastAsia"/>
                <w:szCs w:val="21"/>
              </w:rPr>
              <w:t>投资者参与认购及交易的债券产品范围。法律、行政法规、规章及本所对投资者适当性另有规定的，从其规定。</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第二十五条 本办法由本所负责解释。</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第二十九条 本办法由本所负责解释。</w:t>
            </w:r>
          </w:p>
        </w:tc>
      </w:tr>
      <w:tr w:rsidR="00852AB5" w:rsidTr="00852AB5">
        <w:trPr>
          <w:jc w:val="center"/>
        </w:trPr>
        <w:tc>
          <w:tcPr>
            <w:tcW w:w="6347" w:type="dxa"/>
          </w:tcPr>
          <w:p w:rsidR="00852AB5" w:rsidRDefault="00852AB5" w:rsidP="006D7B82">
            <w:pPr>
              <w:ind w:firstLineChars="200" w:firstLine="420"/>
              <w:rPr>
                <w:rFonts w:ascii="宋体" w:hAnsi="宋体"/>
                <w:szCs w:val="21"/>
              </w:rPr>
            </w:pPr>
            <w:r>
              <w:rPr>
                <w:rFonts w:ascii="宋体" w:hAnsi="宋体" w:hint="eastAsia"/>
                <w:szCs w:val="21"/>
              </w:rPr>
              <w:t>第二十六条 本办法自</w:t>
            </w:r>
            <w:r>
              <w:rPr>
                <w:rFonts w:ascii="宋体" w:hAnsi="宋体" w:hint="eastAsia"/>
                <w:b/>
                <w:bCs/>
                <w:color w:val="FF0000"/>
                <w:szCs w:val="21"/>
              </w:rPr>
              <w:t>2017年7月1日</w:t>
            </w:r>
            <w:r>
              <w:rPr>
                <w:rFonts w:ascii="宋体" w:hAnsi="宋体" w:hint="eastAsia"/>
                <w:szCs w:val="21"/>
              </w:rPr>
              <w:t xml:space="preserve">起实施。 </w:t>
            </w:r>
          </w:p>
        </w:tc>
        <w:tc>
          <w:tcPr>
            <w:tcW w:w="6696" w:type="dxa"/>
          </w:tcPr>
          <w:p w:rsidR="00852AB5" w:rsidRDefault="00852AB5" w:rsidP="006D7B82">
            <w:pPr>
              <w:ind w:firstLineChars="200" w:firstLine="420"/>
              <w:rPr>
                <w:rFonts w:ascii="宋体" w:hAnsi="宋体"/>
                <w:szCs w:val="21"/>
              </w:rPr>
            </w:pPr>
            <w:r>
              <w:rPr>
                <w:rFonts w:ascii="宋体" w:hAnsi="宋体" w:hint="eastAsia"/>
                <w:szCs w:val="21"/>
              </w:rPr>
              <w:t>第三十条 本办法自</w:t>
            </w:r>
            <w:r>
              <w:rPr>
                <w:rFonts w:ascii="宋体" w:hAnsi="宋体" w:hint="eastAsia"/>
                <w:b/>
                <w:bCs/>
                <w:szCs w:val="21"/>
              </w:rPr>
              <w:t>2021年</w:t>
            </w:r>
            <w:r w:rsidR="007610E4">
              <w:rPr>
                <w:rFonts w:ascii="宋体" w:hAnsi="宋体" w:hint="eastAsia"/>
                <w:b/>
                <w:bCs/>
                <w:szCs w:val="21"/>
              </w:rPr>
              <w:t>X</w:t>
            </w:r>
            <w:r>
              <w:rPr>
                <w:rFonts w:ascii="宋体" w:hAnsi="宋体" w:hint="eastAsia"/>
                <w:b/>
                <w:bCs/>
                <w:szCs w:val="21"/>
              </w:rPr>
              <w:t>月</w:t>
            </w:r>
            <w:r w:rsidR="007610E4">
              <w:rPr>
                <w:rFonts w:ascii="宋体" w:hAnsi="宋体" w:hint="eastAsia"/>
                <w:b/>
                <w:bCs/>
                <w:szCs w:val="21"/>
              </w:rPr>
              <w:t>X</w:t>
            </w:r>
            <w:r>
              <w:rPr>
                <w:rFonts w:ascii="宋体" w:hAnsi="宋体" w:hint="eastAsia"/>
                <w:b/>
                <w:bCs/>
                <w:szCs w:val="21"/>
              </w:rPr>
              <w:t>日</w:t>
            </w:r>
            <w:r>
              <w:rPr>
                <w:rFonts w:ascii="宋体" w:hAnsi="宋体" w:hint="eastAsia"/>
                <w:szCs w:val="21"/>
              </w:rPr>
              <w:t xml:space="preserve">起实施。 </w:t>
            </w:r>
          </w:p>
        </w:tc>
      </w:tr>
    </w:tbl>
    <w:p w:rsidR="003E4190" w:rsidRPr="00F36F54" w:rsidRDefault="003E4190" w:rsidP="003E4190"/>
    <w:p w:rsidR="0010234E" w:rsidRPr="007610E4" w:rsidRDefault="0010234E"/>
    <w:sectPr w:rsidR="0010234E" w:rsidRPr="007610E4" w:rsidSect="00F36F54">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4A77" w:rsidRDefault="00B74A77" w:rsidP="003E4190">
      <w:r>
        <w:separator/>
      </w:r>
    </w:p>
  </w:endnote>
  <w:endnote w:type="continuationSeparator" w:id="0">
    <w:p w:rsidR="00B74A77" w:rsidRDefault="00B74A77" w:rsidP="003E419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4A77" w:rsidRDefault="00B74A77" w:rsidP="003E4190">
      <w:r>
        <w:separator/>
      </w:r>
    </w:p>
  </w:footnote>
  <w:footnote w:type="continuationSeparator" w:id="0">
    <w:p w:rsidR="00B74A77" w:rsidRDefault="00B74A77" w:rsidP="003E419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trackRevisions/>
  <w:defaultTabStop w:val="420"/>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E4190"/>
    <w:rsid w:val="0010234E"/>
    <w:rsid w:val="00143FD0"/>
    <w:rsid w:val="00150402"/>
    <w:rsid w:val="00163A4F"/>
    <w:rsid w:val="002153A9"/>
    <w:rsid w:val="002D4EDE"/>
    <w:rsid w:val="002F5CDB"/>
    <w:rsid w:val="00361073"/>
    <w:rsid w:val="003D63AE"/>
    <w:rsid w:val="003E3288"/>
    <w:rsid w:val="003E4190"/>
    <w:rsid w:val="00512302"/>
    <w:rsid w:val="0056279B"/>
    <w:rsid w:val="007610E4"/>
    <w:rsid w:val="0077666C"/>
    <w:rsid w:val="00852AB5"/>
    <w:rsid w:val="00855487"/>
    <w:rsid w:val="00892BA7"/>
    <w:rsid w:val="008A07D3"/>
    <w:rsid w:val="009D6260"/>
    <w:rsid w:val="00A52A78"/>
    <w:rsid w:val="00B25CD3"/>
    <w:rsid w:val="00B346F8"/>
    <w:rsid w:val="00B74A77"/>
    <w:rsid w:val="00BB5D1A"/>
    <w:rsid w:val="00BD0C3E"/>
    <w:rsid w:val="00C01783"/>
    <w:rsid w:val="00C55C47"/>
    <w:rsid w:val="00CB149B"/>
    <w:rsid w:val="00CB5210"/>
    <w:rsid w:val="00D07DAA"/>
    <w:rsid w:val="00D229B0"/>
    <w:rsid w:val="00D60EFE"/>
    <w:rsid w:val="00E03554"/>
    <w:rsid w:val="00E755CF"/>
    <w:rsid w:val="00F40366"/>
    <w:rsid w:val="00FD08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190"/>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E419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E4190"/>
    <w:rPr>
      <w:sz w:val="18"/>
      <w:szCs w:val="18"/>
    </w:rPr>
  </w:style>
  <w:style w:type="paragraph" w:styleId="a4">
    <w:name w:val="footer"/>
    <w:basedOn w:val="a"/>
    <w:link w:val="Char0"/>
    <w:uiPriority w:val="99"/>
    <w:semiHidden/>
    <w:unhideWhenUsed/>
    <w:rsid w:val="003E419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E4190"/>
    <w:rPr>
      <w:sz w:val="18"/>
      <w:szCs w:val="18"/>
    </w:rPr>
  </w:style>
  <w:style w:type="paragraph" w:styleId="a5">
    <w:name w:val="Balloon Text"/>
    <w:basedOn w:val="a"/>
    <w:link w:val="Char1"/>
    <w:uiPriority w:val="99"/>
    <w:semiHidden/>
    <w:unhideWhenUsed/>
    <w:rsid w:val="00852AB5"/>
    <w:rPr>
      <w:sz w:val="18"/>
      <w:szCs w:val="18"/>
    </w:rPr>
  </w:style>
  <w:style w:type="character" w:customStyle="1" w:styleId="Char1">
    <w:name w:val="批注框文本 Char"/>
    <w:basedOn w:val="a0"/>
    <w:link w:val="a5"/>
    <w:uiPriority w:val="99"/>
    <w:semiHidden/>
    <w:rsid w:val="00852AB5"/>
    <w:rPr>
      <w:rFonts w:ascii="Calibri" w:eastAsia="宋体" w:hAnsi="Calibri" w:cs="Times New Roman"/>
      <w:sz w:val="18"/>
      <w:szCs w:val="18"/>
    </w:rPr>
  </w:style>
  <w:style w:type="character" w:styleId="a6">
    <w:name w:val="annotation reference"/>
    <w:basedOn w:val="a0"/>
    <w:uiPriority w:val="99"/>
    <w:semiHidden/>
    <w:unhideWhenUsed/>
    <w:rsid w:val="002D4EDE"/>
    <w:rPr>
      <w:sz w:val="21"/>
      <w:szCs w:val="21"/>
    </w:rPr>
  </w:style>
  <w:style w:type="paragraph" w:styleId="a7">
    <w:name w:val="annotation text"/>
    <w:basedOn w:val="a"/>
    <w:link w:val="Char2"/>
    <w:uiPriority w:val="99"/>
    <w:semiHidden/>
    <w:unhideWhenUsed/>
    <w:rsid w:val="002D4EDE"/>
    <w:pPr>
      <w:jc w:val="left"/>
    </w:pPr>
  </w:style>
  <w:style w:type="character" w:customStyle="1" w:styleId="Char2">
    <w:name w:val="批注文字 Char"/>
    <w:basedOn w:val="a0"/>
    <w:link w:val="a7"/>
    <w:uiPriority w:val="99"/>
    <w:semiHidden/>
    <w:rsid w:val="002D4EDE"/>
    <w:rPr>
      <w:rFonts w:ascii="Calibri" w:eastAsia="宋体" w:hAnsi="Calibri" w:cs="Times New Roman"/>
    </w:rPr>
  </w:style>
  <w:style w:type="paragraph" w:styleId="a8">
    <w:name w:val="annotation subject"/>
    <w:basedOn w:val="a7"/>
    <w:next w:val="a7"/>
    <w:link w:val="Char3"/>
    <w:uiPriority w:val="99"/>
    <w:semiHidden/>
    <w:unhideWhenUsed/>
    <w:rsid w:val="002D4EDE"/>
    <w:rPr>
      <w:b/>
      <w:bCs/>
    </w:rPr>
  </w:style>
  <w:style w:type="character" w:customStyle="1" w:styleId="Char3">
    <w:name w:val="批注主题 Char"/>
    <w:basedOn w:val="Char2"/>
    <w:link w:val="a8"/>
    <w:uiPriority w:val="99"/>
    <w:semiHidden/>
    <w:rsid w:val="002D4EDE"/>
    <w:rPr>
      <w:b/>
      <w:bCs/>
    </w:rPr>
  </w:style>
  <w:style w:type="paragraph" w:styleId="a9">
    <w:name w:val="Revision"/>
    <w:hidden/>
    <w:uiPriority w:val="99"/>
    <w:semiHidden/>
    <w:rsid w:val="007610E4"/>
    <w:rPr>
      <w:rFonts w:ascii="Calibri" w:eastAsia="宋体"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5</TotalTime>
  <Pages>8</Pages>
  <Words>1245</Words>
  <Characters>7102</Characters>
  <Application>Microsoft Office Word</Application>
  <DocSecurity>0</DocSecurity>
  <Lines>59</Lines>
  <Paragraphs>16</Paragraphs>
  <ScaleCrop>false</ScaleCrop>
  <Company/>
  <LinksUpToDate>false</LinksUpToDate>
  <CharactersWithSpaces>8331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王奇全(拟稿)</dc:creator>
  <cp:lastModifiedBy>朱峰(拟稿)</cp:lastModifiedBy>
  <cp:revision>8</cp:revision>
  <dcterms:created xsi:type="dcterms:W3CDTF">2021-04-21T10:15:00Z</dcterms:created>
  <dcterms:modified xsi:type="dcterms:W3CDTF">2021-05-18T02:19:00Z</dcterms:modified>
</cp:coreProperties>
</file>