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spacing w:line="540" w:lineRule="exact"/>
        <w:ind w:firstLine="0" w:firstLineChars="0"/>
        <w:rPr>
          <w:rFonts w:hint="default" w:ascii="仿宋_GB2312" w:hAnsi="黑体" w:eastAsia="仿宋_GB2312" w:cs="黑体"/>
          <w:bCs/>
          <w:sz w:val="30"/>
          <w:szCs w:val="30"/>
          <w:lang w:val="en-US" w:eastAsia="zh-CN"/>
        </w:rPr>
      </w:pPr>
      <w:r>
        <w:rPr>
          <w:rFonts w:hint="eastAsia" w:ascii="仿宋_GB2312" w:hAnsi="黑体" w:eastAsia="仿宋_GB2312" w:cs="黑体"/>
          <w:bCs/>
          <w:sz w:val="30"/>
          <w:szCs w:val="30"/>
        </w:rPr>
        <w:t>附件</w:t>
      </w:r>
      <w:r>
        <w:rPr>
          <w:rFonts w:hint="eastAsia" w:eastAsia="仿宋_GB2312"/>
          <w:bCs/>
          <w:sz w:val="30"/>
          <w:szCs w:val="30"/>
          <w:lang w:val="en-US" w:eastAsia="zh-CN"/>
        </w:rPr>
        <w:t>10</w:t>
      </w:r>
    </w:p>
    <w:p>
      <w:pPr>
        <w:pStyle w:val="17"/>
        <w:spacing w:line="540" w:lineRule="exact"/>
        <w:ind w:firstLine="0" w:firstLineChars="0"/>
        <w:jc w:val="center"/>
        <w:rPr>
          <w:rFonts w:ascii="仿宋_GB2312" w:hAnsi="黑体" w:eastAsia="仿宋_GB2312" w:cs="黑体"/>
          <w:bCs/>
          <w:sz w:val="30"/>
          <w:szCs w:val="30"/>
        </w:rPr>
      </w:pPr>
    </w:p>
    <w:p>
      <w:pPr>
        <w:spacing w:line="560" w:lineRule="exact"/>
        <w:jc w:val="center"/>
        <w:rPr>
          <w:rFonts w:ascii="仿宋_GB2312" w:hAnsi="仿宋_GB2312" w:eastAsia="黑体" w:cs="Times New Roman"/>
          <w:b/>
          <w:bCs/>
          <w:spacing w:val="-4"/>
          <w:sz w:val="44"/>
          <w:szCs w:val="44"/>
        </w:rPr>
      </w:pPr>
      <w:r>
        <w:rPr>
          <w:rFonts w:hint="eastAsia" w:ascii="仿宋_GB2312" w:hAnsi="仿宋_GB2312" w:eastAsia="黑体" w:cs="Times New Roman"/>
          <w:b/>
          <w:bCs/>
          <w:spacing w:val="-4"/>
          <w:sz w:val="44"/>
          <w:szCs w:val="44"/>
        </w:rPr>
        <w:t>《上海证券交易所科创板股票上市规则</w:t>
      </w:r>
    </w:p>
    <w:p>
      <w:pPr>
        <w:spacing w:line="560" w:lineRule="exact"/>
        <w:jc w:val="center"/>
        <w:rPr>
          <w:rFonts w:ascii="仿宋_GB2312" w:hAnsi="仿宋_GB2312" w:eastAsia="黑体" w:cs="Times New Roman"/>
          <w:b/>
          <w:bCs/>
          <w:spacing w:val="-4"/>
          <w:sz w:val="44"/>
          <w:szCs w:val="44"/>
        </w:rPr>
      </w:pPr>
      <w:r>
        <w:rPr>
          <w:rFonts w:hint="eastAsia" w:ascii="仿宋_GB2312" w:hAnsi="仿宋_GB2312" w:eastAsia="黑体" w:cs="Times New Roman"/>
          <w:b/>
          <w:bCs/>
          <w:spacing w:val="-4"/>
          <w:sz w:val="44"/>
          <w:szCs w:val="44"/>
        </w:rPr>
        <w:t>（征求意见稿）》起草说明</w:t>
      </w:r>
    </w:p>
    <w:p>
      <w:pPr>
        <w:spacing w:line="560" w:lineRule="exact"/>
        <w:jc w:val="center"/>
        <w:rPr>
          <w:rFonts w:ascii="仿宋_GB2312" w:hAnsi="仿宋_GB2312" w:eastAsia="仿宋" w:cs="宋体"/>
          <w:b/>
          <w:bCs/>
          <w:kern w:val="0"/>
          <w:sz w:val="32"/>
          <w:szCs w:val="30"/>
        </w:rPr>
      </w:pPr>
    </w:p>
    <w:p>
      <w:pPr>
        <w:spacing w:line="600" w:lineRule="exact"/>
        <w:ind w:firstLine="640" w:firstLineChars="200"/>
        <w:rPr>
          <w:rFonts w:ascii="仿宋_GB2312" w:hAnsi="仿宋_GB2312" w:eastAsia="黑体"/>
          <w:sz w:val="32"/>
          <w:szCs w:val="32"/>
        </w:rPr>
      </w:pPr>
      <w:r>
        <w:rPr>
          <w:rFonts w:hint="eastAsia" w:ascii="仿宋_GB2312" w:hAnsi="仿宋_GB2312" w:eastAsia="仿宋_GB2312" w:cs="仿宋_GB2312"/>
          <w:kern w:val="0"/>
          <w:sz w:val="32"/>
          <w:szCs w:val="32"/>
        </w:rPr>
        <w:t>为深入贯彻落实中央金融工作会议精神和《国务院关于加强监管防范风险推动资本市场高质量发展的若干意见》</w:t>
      </w:r>
      <w:bookmarkStart w:id="1" w:name="_GoBack"/>
      <w:bookmarkEnd w:id="1"/>
      <w:r>
        <w:rPr>
          <w:rFonts w:hint="eastAsia" w:ascii="仿宋_GB2312" w:hAnsi="仿宋_GB2312" w:eastAsia="仿宋_GB2312" w:cs="仿宋_GB2312"/>
          <w:kern w:val="0"/>
          <w:sz w:val="32"/>
          <w:szCs w:val="32"/>
        </w:rPr>
        <w:t>，推进建设中国特色现代资本市场，保护投资者合法权益，根据中国证监会《关于加强上市公司监管的意见（试行）》《关于严格执行退市制度的意见》（以下统称相关《意见》）的要求，本所对《上海证券交易所科创板股票上市规则》（以下简称《科创板上市规则》）进行了修订。现将有关情况说明如下：</w:t>
      </w:r>
    </w:p>
    <w:p>
      <w:pPr>
        <w:spacing w:line="600" w:lineRule="exact"/>
        <w:ind w:firstLine="640" w:firstLineChars="200"/>
        <w:rPr>
          <w:rFonts w:ascii="仿宋_GB2312" w:hAnsi="仿宋_GB2312" w:eastAsia="黑体"/>
          <w:sz w:val="32"/>
          <w:szCs w:val="32"/>
        </w:rPr>
      </w:pPr>
      <w:r>
        <w:rPr>
          <w:rFonts w:hint="eastAsia" w:ascii="仿宋_GB2312" w:hAnsi="仿宋_GB2312" w:eastAsia="黑体"/>
          <w:sz w:val="32"/>
          <w:szCs w:val="32"/>
        </w:rPr>
        <w:t>一</w:t>
      </w:r>
      <w:r>
        <w:rPr>
          <w:rFonts w:ascii="仿宋_GB2312" w:hAnsi="仿宋_GB2312" w:eastAsia="黑体"/>
          <w:sz w:val="32"/>
          <w:szCs w:val="32"/>
        </w:rPr>
        <w:t>、</w:t>
      </w:r>
      <w:r>
        <w:rPr>
          <w:rFonts w:hint="eastAsia" w:ascii="仿宋_GB2312" w:hAnsi="仿宋_GB2312" w:eastAsia="黑体"/>
          <w:sz w:val="32"/>
          <w:szCs w:val="32"/>
        </w:rPr>
        <w:t>修订</w:t>
      </w:r>
      <w:r>
        <w:rPr>
          <w:rFonts w:ascii="仿宋_GB2312" w:hAnsi="仿宋_GB2312" w:eastAsia="黑体"/>
          <w:sz w:val="32"/>
          <w:szCs w:val="32"/>
        </w:rPr>
        <w:t>背景</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cs="仿宋_GB2312"/>
          <w:kern w:val="0"/>
          <w:sz w:val="32"/>
          <w:szCs w:val="32"/>
        </w:rPr>
        <w:t>本</w:t>
      </w:r>
      <w:r>
        <w:rPr>
          <w:rFonts w:hint="eastAsia" w:ascii="仿宋_GB2312" w:hAnsi="仿宋_GB2312" w:eastAsia="仿宋_GB2312"/>
          <w:sz w:val="32"/>
          <w:szCs w:val="32"/>
        </w:rPr>
        <w:t>所认真学习并贯彻落实党中央、</w:t>
      </w:r>
      <w:r>
        <w:rPr>
          <w:rFonts w:ascii="仿宋_GB2312" w:hAnsi="仿宋_GB2312" w:eastAsia="仿宋_GB2312"/>
          <w:sz w:val="32"/>
          <w:szCs w:val="32"/>
        </w:rPr>
        <w:t>国务院</w:t>
      </w:r>
      <w:r>
        <w:rPr>
          <w:rFonts w:hint="eastAsia" w:ascii="仿宋_GB2312" w:hAnsi="仿宋_GB2312" w:eastAsia="仿宋_GB2312"/>
          <w:sz w:val="32"/>
          <w:szCs w:val="32"/>
        </w:rPr>
        <w:t>关于提高上市公司质量、健全</w:t>
      </w:r>
      <w:r>
        <w:rPr>
          <w:rFonts w:ascii="仿宋_GB2312" w:hAnsi="仿宋_GB2312" w:eastAsia="仿宋_GB2312"/>
          <w:sz w:val="32"/>
          <w:szCs w:val="32"/>
        </w:rPr>
        <w:t>上市公司退市机制</w:t>
      </w:r>
      <w:r>
        <w:rPr>
          <w:rFonts w:hint="eastAsia" w:ascii="仿宋_GB2312" w:hAnsi="仿宋_GB2312" w:eastAsia="仿宋_GB2312"/>
          <w:sz w:val="32"/>
          <w:szCs w:val="32"/>
        </w:rPr>
        <w:t>等重大</w:t>
      </w:r>
      <w:r>
        <w:rPr>
          <w:rFonts w:ascii="仿宋_GB2312" w:hAnsi="仿宋_GB2312" w:eastAsia="仿宋_GB2312"/>
          <w:sz w:val="32"/>
          <w:szCs w:val="32"/>
        </w:rPr>
        <w:t>决策部署</w:t>
      </w:r>
      <w:r>
        <w:rPr>
          <w:rFonts w:hint="eastAsia" w:ascii="仿宋_GB2312" w:hAnsi="仿宋_GB2312" w:eastAsia="仿宋_GB2312"/>
          <w:sz w:val="32"/>
          <w:szCs w:val="32"/>
        </w:rPr>
        <w:t>，深入落实中国证监会近期发布的强监管防风险推动资本市场高质量发展有关政策文件，推动提高上市公司质量，要坚持目标导向、问题导向，牢牢把握强监管、防风险、促高质量发展的主线，落实监管要“长牙带刺”、有棱有角的要求，突出 “强本强基”和“严监严管”。</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目前，上市公司结构持续优化，创新能力不断增强，回报能力稳步提升，总体面貌明显改善。相关《意见》明确提出，要进一步加强对财务造假、大股东利益侵占、违规减持等违法行为的监管，增强分红的稳定性、及时性和可预期性，督促上市公司提高自身投资价值。</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退市制度是资本市场的基础性制度，经过2020年的改革，已经清退了一批“空壳僵尸”和“害群之马”，目前常态化退市格局基本形成，各方对持续加大退市力度期待较高。相关《意见》明确提出，要进一步深化改革，实现进退有序、及时出清的格局，更大力度保护中小投资者合法权益。</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综上，为及时落实</w:t>
      </w:r>
      <w:r>
        <w:rPr>
          <w:rFonts w:ascii="仿宋_GB2312" w:hAnsi="仿宋_GB2312" w:eastAsia="仿宋_GB2312"/>
          <w:sz w:val="32"/>
          <w:szCs w:val="32"/>
        </w:rPr>
        <w:t>相关</w:t>
      </w:r>
      <w:r>
        <w:rPr>
          <w:rFonts w:hint="eastAsia" w:ascii="仿宋_GB2312" w:hAnsi="仿宋_GB2312" w:eastAsia="仿宋_GB2312"/>
          <w:sz w:val="32"/>
          <w:szCs w:val="32"/>
        </w:rPr>
        <w:t>《意见》要求，本所经认真研究，对《科创板上市规则》的相关条款进行了修订。</w:t>
      </w:r>
    </w:p>
    <w:p>
      <w:pPr>
        <w:overflowPunct w:val="0"/>
        <w:snapToGrid w:val="0"/>
        <w:spacing w:line="600" w:lineRule="exact"/>
        <w:ind w:firstLine="640" w:firstLineChars="200"/>
        <w:rPr>
          <w:rFonts w:ascii="仿宋_GB2312" w:hAnsi="仿宋_GB2312" w:eastAsia="黑体" w:cs="黑体"/>
          <w:sz w:val="32"/>
          <w:szCs w:val="32"/>
        </w:rPr>
      </w:pPr>
      <w:r>
        <w:rPr>
          <w:rFonts w:hint="eastAsia" w:ascii="仿宋_GB2312" w:hAnsi="仿宋_GB2312" w:eastAsia="黑体" w:cs="黑体"/>
          <w:sz w:val="32"/>
          <w:szCs w:val="32"/>
        </w:rPr>
        <w:t>二、修订内容</w:t>
      </w:r>
    </w:p>
    <w:p>
      <w:pPr>
        <w:spacing w:line="600" w:lineRule="exact"/>
        <w:ind w:firstLine="640" w:firstLineChars="200"/>
        <w:rPr>
          <w:rFonts w:ascii="仿宋_GB2312" w:hAnsi="仿宋_GB2312" w:eastAsia="仿宋_GB2312"/>
          <w:b/>
          <w:sz w:val="32"/>
          <w:szCs w:val="32"/>
        </w:rPr>
      </w:pPr>
      <w:r>
        <w:rPr>
          <w:rFonts w:hint="eastAsia" w:ascii="仿宋_GB2312" w:hAnsi="仿宋_GB2312" w:eastAsia="仿宋_GB2312"/>
          <w:b/>
          <w:sz w:val="32"/>
          <w:szCs w:val="32"/>
        </w:rPr>
        <w:t>（一）完善强制退市指标</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本次修订进一步完善重大违法类、财务类和规范类三类强制退市指标。具体内容包括：</w:t>
      </w:r>
    </w:p>
    <w:p>
      <w:pPr>
        <w:spacing w:line="600" w:lineRule="exact"/>
        <w:ind w:firstLine="640" w:firstLineChars="200"/>
        <w:rPr>
          <w:rFonts w:ascii="仿宋_GB2312" w:hAnsi="仿宋_GB2312" w:eastAsia="仿宋_GB2312"/>
          <w:b/>
          <w:sz w:val="32"/>
          <w:szCs w:val="32"/>
        </w:rPr>
      </w:pPr>
      <w:r>
        <w:rPr>
          <w:rFonts w:hint="eastAsia" w:ascii="仿宋_GB2312" w:hAnsi="仿宋_GB2312" w:eastAsia="仿宋_GB2312"/>
          <w:b/>
          <w:sz w:val="32"/>
          <w:szCs w:val="32"/>
        </w:rPr>
        <w:t>1</w:t>
      </w:r>
      <w:r>
        <w:rPr>
          <w:rFonts w:ascii="仿宋_GB2312" w:hAnsi="仿宋_GB2312" w:eastAsia="仿宋_GB2312"/>
          <w:b/>
          <w:sz w:val="32"/>
          <w:szCs w:val="32"/>
        </w:rPr>
        <w:t>.大幅降低财务造假重大违法退市标准</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释放“零容忍”鲜明信号，加大财务造假打击力度，尽快出清“害群之马”，本次修订大幅降低重大违法财务造假退市门槛。结合近年来市场关注度高的财务造假案例情况，将标准优化如下：对于“造假金额+造假比例”的标准修改为</w:t>
      </w:r>
      <w:r>
        <w:rPr>
          <w:rFonts w:ascii="仿宋_GB2312" w:hAnsi="仿宋_GB2312" w:eastAsia="仿宋_GB2312"/>
          <w:sz w:val="32"/>
          <w:szCs w:val="32"/>
        </w:rPr>
        <w:t>一年、两年、三年及以上三个层次。</w:t>
      </w:r>
      <w:r>
        <w:rPr>
          <w:rFonts w:ascii="仿宋_GB2312" w:hAnsi="仿宋_GB2312" w:eastAsia="仿宋_GB2312"/>
          <w:sz w:val="32"/>
          <w:szCs w:val="32"/>
          <w:highlight w:val="none"/>
        </w:rPr>
        <w:t>具体</w:t>
      </w:r>
      <w:r>
        <w:rPr>
          <w:rFonts w:hint="eastAsia" w:ascii="仿宋_GB2312" w:hAnsi="仿宋_GB2312" w:eastAsia="仿宋_GB2312"/>
          <w:sz w:val="32"/>
          <w:szCs w:val="32"/>
          <w:highlight w:val="none"/>
          <w:lang w:eastAsia="zh-CN"/>
        </w:rPr>
        <w:t>来说：</w:t>
      </w:r>
      <w:r>
        <w:rPr>
          <w:rFonts w:ascii="仿宋_GB2312" w:hAnsi="仿宋_GB2312" w:eastAsia="仿宋_GB2312"/>
          <w:sz w:val="32"/>
          <w:szCs w:val="32"/>
          <w:highlight w:val="none"/>
        </w:rPr>
        <w:t>（1）一年虚假记载金额达到2亿元以上，且</w:t>
      </w:r>
      <w:r>
        <w:rPr>
          <w:rFonts w:hint="eastAsia" w:ascii="仿宋_GB2312" w:hAnsi="仿宋_GB2312" w:eastAsia="仿宋_GB2312"/>
          <w:sz w:val="32"/>
          <w:szCs w:val="32"/>
          <w:highlight w:val="none"/>
          <w:lang w:eastAsia="zh-CN"/>
        </w:rPr>
        <w:t>占比</w:t>
      </w:r>
      <w:r>
        <w:rPr>
          <w:rFonts w:ascii="仿宋_GB2312" w:hAnsi="仿宋_GB2312" w:eastAsia="仿宋_GB2312"/>
          <w:sz w:val="32"/>
          <w:szCs w:val="32"/>
          <w:highlight w:val="none"/>
        </w:rPr>
        <w:t>超过30%</w:t>
      </w:r>
      <w:r>
        <w:rPr>
          <w:rFonts w:hint="eastAsia" w:ascii="仿宋_GB2312" w:hAnsi="仿宋_GB2312" w:eastAsia="仿宋_GB2312"/>
          <w:sz w:val="32"/>
          <w:szCs w:val="32"/>
          <w:highlight w:val="none"/>
        </w:rPr>
        <w:t>。</w:t>
      </w:r>
      <w:r>
        <w:rPr>
          <w:rFonts w:ascii="仿宋_GB2312" w:hAnsi="仿宋_GB2312" w:eastAsia="仿宋_GB2312"/>
          <w:sz w:val="32"/>
          <w:szCs w:val="32"/>
          <w:highlight w:val="none"/>
        </w:rPr>
        <w:t>（2）连续两年虚假记载金额达到3亿元以上，且</w:t>
      </w:r>
      <w:r>
        <w:rPr>
          <w:rFonts w:hint="eastAsia" w:ascii="仿宋_GB2312" w:hAnsi="仿宋_GB2312" w:eastAsia="仿宋_GB2312"/>
          <w:sz w:val="32"/>
          <w:szCs w:val="32"/>
          <w:highlight w:val="none"/>
          <w:lang w:eastAsia="zh-CN"/>
        </w:rPr>
        <w:t>占比</w:t>
      </w:r>
      <w:r>
        <w:rPr>
          <w:rFonts w:ascii="仿宋_GB2312" w:hAnsi="仿宋_GB2312" w:eastAsia="仿宋_GB2312"/>
          <w:sz w:val="32"/>
          <w:szCs w:val="32"/>
          <w:highlight w:val="none"/>
        </w:rPr>
        <w:t>超过20%</w:t>
      </w:r>
      <w:r>
        <w:rPr>
          <w:rFonts w:hint="eastAsia" w:ascii="仿宋_GB2312" w:hAnsi="仿宋_GB2312" w:eastAsia="仿宋_GB2312"/>
          <w:sz w:val="32"/>
          <w:szCs w:val="32"/>
          <w:highlight w:val="none"/>
        </w:rPr>
        <w:t>。</w:t>
      </w:r>
      <w:r>
        <w:rPr>
          <w:rFonts w:ascii="仿宋_GB2312" w:hAnsi="仿宋_GB2312" w:eastAsia="仿宋_GB2312"/>
          <w:sz w:val="32"/>
          <w:szCs w:val="32"/>
          <w:highlight w:val="none"/>
        </w:rPr>
        <w:t>（3）连续三年及以上年度存在虚假记载</w:t>
      </w:r>
      <w:r>
        <w:rPr>
          <w:rFonts w:hint="eastAsia" w:ascii="仿宋_GB2312" w:hAnsi="仿宋_GB2312" w:eastAsia="仿宋_GB2312"/>
          <w:sz w:val="32"/>
          <w:szCs w:val="32"/>
          <w:highlight w:val="none"/>
        </w:rPr>
        <w:t>。</w:t>
      </w:r>
      <w:r>
        <w:rPr>
          <w:rFonts w:ascii="仿宋_GB2312" w:hAnsi="仿宋_GB2312" w:eastAsia="仿宋_GB2312"/>
          <w:sz w:val="32"/>
          <w:szCs w:val="32"/>
          <w:highlight w:val="none"/>
        </w:rPr>
        <w:t>前述虚假记载科目包括营业收入、净</w:t>
      </w:r>
      <w:r>
        <w:rPr>
          <w:rFonts w:hint="eastAsia" w:ascii="仿宋_GB2312" w:hAnsi="仿宋_GB2312" w:eastAsia="仿宋_GB2312"/>
          <w:sz w:val="32"/>
          <w:szCs w:val="32"/>
          <w:highlight w:val="none"/>
        </w:rPr>
        <w:t>利润、利润总额和</w:t>
      </w:r>
      <w:r>
        <w:rPr>
          <w:rFonts w:hint="eastAsia" w:ascii="仿宋_GB2312" w:hAnsi="仿宋_GB2312" w:eastAsia="仿宋_GB2312"/>
          <w:sz w:val="32"/>
          <w:szCs w:val="32"/>
        </w:rPr>
        <w:t>资产负债表中的资产或者负债科目</w:t>
      </w:r>
      <w:r>
        <w:rPr>
          <w:rFonts w:hint="eastAsia" w:ascii="仿宋_GB2312" w:hAnsi="仿宋_GB2312" w:eastAsia="仿宋_GB2312"/>
          <w:sz w:val="32"/>
          <w:szCs w:val="32"/>
          <w:lang w:eastAsia="zh-CN"/>
        </w:rPr>
        <w:t>；计算</w:t>
      </w:r>
      <w:r>
        <w:rPr>
          <w:rFonts w:ascii="仿宋_GB2312" w:hAnsi="仿宋_GB2312" w:eastAsia="仿宋_GB2312"/>
          <w:sz w:val="32"/>
          <w:szCs w:val="32"/>
          <w:highlight w:val="none"/>
        </w:rPr>
        <w:t>营业收入、净</w:t>
      </w:r>
      <w:r>
        <w:rPr>
          <w:rFonts w:hint="eastAsia" w:ascii="仿宋_GB2312" w:hAnsi="仿宋_GB2312" w:eastAsia="仿宋_GB2312"/>
          <w:sz w:val="32"/>
          <w:szCs w:val="32"/>
          <w:highlight w:val="none"/>
        </w:rPr>
        <w:t>利润、利润总额</w:t>
      </w:r>
      <w:r>
        <w:rPr>
          <w:rFonts w:hint="eastAsia" w:ascii="仿宋_GB2312" w:hAnsi="仿宋_GB2312" w:eastAsia="仿宋_GB2312"/>
          <w:sz w:val="32"/>
          <w:szCs w:val="32"/>
          <w:highlight w:val="none"/>
          <w:lang w:eastAsia="zh-CN"/>
        </w:rPr>
        <w:t>的</w:t>
      </w:r>
      <w:r>
        <w:rPr>
          <w:rFonts w:hint="eastAsia" w:ascii="仿宋_GB2312" w:hAnsi="仿宋_GB2312" w:eastAsia="仿宋_GB2312"/>
          <w:sz w:val="32"/>
          <w:szCs w:val="32"/>
          <w:lang w:eastAsia="zh-CN"/>
        </w:rPr>
        <w:t>造假占比，以披露的相应科目金额作为分母，计算</w:t>
      </w:r>
      <w:r>
        <w:rPr>
          <w:rFonts w:hint="eastAsia" w:ascii="仿宋_GB2312" w:hAnsi="仿宋_GB2312" w:eastAsia="仿宋_GB2312"/>
          <w:sz w:val="32"/>
          <w:szCs w:val="32"/>
        </w:rPr>
        <w:t>资产负债表中的资产</w:t>
      </w:r>
      <w:r>
        <w:rPr>
          <w:rFonts w:hint="eastAsia" w:ascii="仿宋_GB2312" w:hAnsi="仿宋_GB2312" w:eastAsia="仿宋_GB2312"/>
          <w:sz w:val="32"/>
          <w:szCs w:val="32"/>
          <w:lang w:eastAsia="zh-CN"/>
        </w:rPr>
        <w:t>和</w:t>
      </w:r>
      <w:r>
        <w:rPr>
          <w:rFonts w:hint="eastAsia" w:ascii="仿宋_GB2312" w:hAnsi="仿宋_GB2312" w:eastAsia="仿宋_GB2312"/>
          <w:sz w:val="32"/>
          <w:szCs w:val="32"/>
        </w:rPr>
        <w:t>负债科目</w:t>
      </w:r>
      <w:r>
        <w:rPr>
          <w:rFonts w:hint="eastAsia" w:ascii="仿宋_GB2312" w:hAnsi="仿宋_GB2312" w:eastAsia="仿宋_GB2312"/>
          <w:sz w:val="32"/>
          <w:szCs w:val="32"/>
          <w:lang w:eastAsia="zh-CN"/>
        </w:rPr>
        <w:t>的造假占比，以披露的净资产作为分母</w:t>
      </w:r>
      <w:r>
        <w:rPr>
          <w:rFonts w:hint="eastAsia" w:ascii="仿宋_GB2312" w:hAnsi="仿宋_GB2312" w:eastAsia="仿宋_GB2312"/>
          <w:sz w:val="32"/>
          <w:szCs w:val="32"/>
          <w:highlight w:val="none"/>
        </w:rPr>
        <w:t>。</w:t>
      </w:r>
      <w:r>
        <w:rPr>
          <w:rFonts w:hint="eastAsia" w:ascii="仿宋_GB2312" w:hAnsi="仿宋_GB2312" w:eastAsia="仿宋_GB2312"/>
          <w:sz w:val="32"/>
          <w:szCs w:val="32"/>
        </w:rPr>
        <w:t>其中，一年、两年财务造假退市标准适用于</w:t>
      </w:r>
      <w:r>
        <w:rPr>
          <w:rFonts w:ascii="仿宋_GB2312" w:hAnsi="仿宋_GB2312" w:eastAsia="仿宋_GB2312"/>
          <w:sz w:val="32"/>
          <w:szCs w:val="32"/>
        </w:rPr>
        <w:t>2024年</w:t>
      </w:r>
      <w:r>
        <w:rPr>
          <w:rFonts w:hint="eastAsia" w:ascii="仿宋_GB2312" w:hAnsi="仿宋_GB2312" w:eastAsia="仿宋_GB2312"/>
          <w:sz w:val="32"/>
          <w:szCs w:val="32"/>
        </w:rPr>
        <w:t>及以后年度</w:t>
      </w:r>
      <w:r>
        <w:rPr>
          <w:rFonts w:ascii="仿宋_GB2312" w:hAnsi="仿宋_GB2312" w:eastAsia="仿宋_GB2312"/>
          <w:sz w:val="32"/>
          <w:szCs w:val="32"/>
        </w:rPr>
        <w:t>，三年及三年以上</w:t>
      </w:r>
      <w:r>
        <w:rPr>
          <w:rFonts w:hint="eastAsia" w:ascii="仿宋_GB2312" w:hAnsi="仿宋_GB2312" w:eastAsia="仿宋_GB2312"/>
          <w:sz w:val="32"/>
          <w:szCs w:val="32"/>
        </w:rPr>
        <w:t>财务造假行为性质恶劣，本次从严规范，适用于</w:t>
      </w:r>
      <w:r>
        <w:rPr>
          <w:rFonts w:ascii="仿宋_GB2312" w:hAnsi="仿宋_GB2312" w:eastAsia="仿宋_GB2312"/>
          <w:sz w:val="32"/>
          <w:szCs w:val="32"/>
        </w:rPr>
        <w:t>2020年</w:t>
      </w:r>
      <w:r>
        <w:rPr>
          <w:rFonts w:hint="eastAsia" w:ascii="仿宋_GB2312" w:hAnsi="仿宋_GB2312" w:eastAsia="仿宋_GB2312"/>
          <w:sz w:val="32"/>
          <w:szCs w:val="32"/>
        </w:rPr>
        <w:t>及以后年度，衔接2020年退市改革</w:t>
      </w:r>
      <w:r>
        <w:rPr>
          <w:rFonts w:ascii="仿宋_GB2312" w:hAnsi="仿宋_GB2312" w:eastAsia="仿宋_GB2312"/>
          <w:sz w:val="32"/>
          <w:szCs w:val="32"/>
        </w:rPr>
        <w:t>。</w:t>
      </w:r>
      <w:r>
        <w:rPr>
          <w:rFonts w:hint="eastAsia" w:ascii="仿宋_GB2312" w:hAnsi="仿宋_GB2312" w:eastAsia="仿宋_GB2312"/>
          <w:sz w:val="32"/>
          <w:szCs w:val="32"/>
        </w:rPr>
        <w:t>另外，如虚假记载年度涉及</w:t>
      </w:r>
      <w:r>
        <w:rPr>
          <w:rFonts w:ascii="仿宋_GB2312" w:hAnsi="仿宋_GB2312" w:eastAsia="仿宋_GB2312"/>
          <w:sz w:val="32"/>
          <w:szCs w:val="32"/>
        </w:rPr>
        <w:t>2020-202</w:t>
      </w:r>
      <w:r>
        <w:rPr>
          <w:rFonts w:hint="eastAsia" w:ascii="仿宋_GB2312" w:hAnsi="仿宋_GB2312" w:eastAsia="仿宋_GB2312"/>
          <w:sz w:val="32"/>
          <w:szCs w:val="32"/>
        </w:rPr>
        <w:t>4</w:t>
      </w:r>
      <w:r>
        <w:rPr>
          <w:rFonts w:ascii="仿宋_GB2312" w:hAnsi="仿宋_GB2312" w:eastAsia="仿宋_GB2312"/>
          <w:sz w:val="32"/>
          <w:szCs w:val="32"/>
        </w:rPr>
        <w:t>年度的</w:t>
      </w:r>
      <w:r>
        <w:rPr>
          <w:rFonts w:hint="eastAsia" w:ascii="仿宋_GB2312" w:hAnsi="仿宋_GB2312" w:eastAsia="仿宋_GB2312"/>
          <w:sz w:val="32"/>
          <w:szCs w:val="32"/>
        </w:rPr>
        <w:t>，仍然适用原标准，即“虚假记载金额合计达到</w:t>
      </w:r>
      <w:r>
        <w:rPr>
          <w:rFonts w:ascii="仿宋_GB2312" w:hAnsi="仿宋_GB2312" w:eastAsia="仿宋_GB2312"/>
          <w:sz w:val="32"/>
          <w:szCs w:val="32"/>
        </w:rPr>
        <w:t>5亿元以上，且超过该两年披露合计金额的50%”</w:t>
      </w:r>
      <w:r>
        <w:rPr>
          <w:rFonts w:hint="eastAsia" w:ascii="仿宋_GB2312" w:hAnsi="仿宋_GB2312" w:eastAsia="仿宋_GB2312"/>
          <w:sz w:val="32"/>
          <w:szCs w:val="32"/>
        </w:rPr>
        <w:t>。</w:t>
      </w:r>
    </w:p>
    <w:p>
      <w:pPr>
        <w:spacing w:line="600" w:lineRule="exact"/>
        <w:ind w:firstLine="640" w:firstLineChars="200"/>
        <w:rPr>
          <w:rFonts w:ascii="仿宋_GB2312" w:hAnsi="仿宋_GB2312" w:eastAsia="仿宋_GB2312"/>
          <w:b/>
          <w:sz w:val="32"/>
          <w:szCs w:val="32"/>
        </w:rPr>
      </w:pPr>
      <w:r>
        <w:rPr>
          <w:rFonts w:hint="eastAsia" w:ascii="仿宋_GB2312" w:hAnsi="仿宋_GB2312" w:eastAsia="仿宋_GB2312"/>
          <w:b/>
          <w:sz w:val="32"/>
          <w:szCs w:val="32"/>
        </w:rPr>
        <w:t>2</w:t>
      </w:r>
      <w:r>
        <w:rPr>
          <w:rFonts w:ascii="仿宋_GB2312" w:hAnsi="仿宋_GB2312" w:eastAsia="仿宋_GB2312"/>
          <w:b/>
          <w:sz w:val="32"/>
          <w:szCs w:val="32"/>
        </w:rPr>
        <w:t>.新增三项规范类退市情形</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为进一步打击资金占用、治理混乱、控制权无序争夺等市场乱象，本次新增三项规范类退市情形，主要修订以下内容：</w:t>
      </w:r>
      <w:r>
        <w:rPr>
          <w:rFonts w:hint="eastAsia" w:ascii="仿宋_GB2312" w:hAnsi="仿宋_GB2312" w:eastAsia="仿宋_GB2312"/>
          <w:b/>
          <w:sz w:val="32"/>
          <w:szCs w:val="32"/>
        </w:rPr>
        <w:t>一是新增“资金占用”退市指标。</w:t>
      </w:r>
      <w:r>
        <w:rPr>
          <w:rFonts w:hint="eastAsia" w:ascii="仿宋_GB2312" w:hAnsi="仿宋_GB2312" w:eastAsia="仿宋_GB2312"/>
          <w:sz w:val="32"/>
          <w:szCs w:val="32"/>
        </w:rPr>
        <w:t>控股股东资金占用严重侵占上市公司利益，扰乱资本市场秩序，有必要通过退市机制设立“高压线”，震慑违规占用行为。具体情形为上市公司出现控股股东（无控股股东，则为第一大股东）及其关联方非经营性占用资金，余额达到最近一期经审计净资产绝对值</w:t>
      </w:r>
      <w:r>
        <w:rPr>
          <w:rFonts w:ascii="仿宋_GB2312" w:hAnsi="仿宋_GB2312" w:eastAsia="仿宋_GB2312"/>
          <w:sz w:val="32"/>
          <w:szCs w:val="32"/>
        </w:rPr>
        <w:t>30%以上，或者金额超过2亿元以上，被中国证监会责令改正但公司未在规定期限内改正的，</w:t>
      </w:r>
      <w:r>
        <w:rPr>
          <w:rFonts w:hint="eastAsia" w:ascii="仿宋_GB2312" w:hAnsi="仿宋_GB2312" w:eastAsia="仿宋_GB2312"/>
          <w:sz w:val="32"/>
          <w:szCs w:val="32"/>
        </w:rPr>
        <w:t>对公司股票予以停牌，在停牌</w:t>
      </w:r>
      <w:r>
        <w:rPr>
          <w:rFonts w:ascii="仿宋_GB2312" w:hAnsi="仿宋_GB2312" w:eastAsia="仿宋_GB2312"/>
          <w:sz w:val="32"/>
          <w:szCs w:val="32"/>
        </w:rPr>
        <w:t>2个月内仍未改正的，实施退市风险警示，此后2个月内仍未改正的，对公司股票予以终止上市。</w:t>
      </w:r>
      <w:r>
        <w:rPr>
          <w:rFonts w:ascii="仿宋_GB2312" w:hAnsi="仿宋_GB2312" w:eastAsia="仿宋_GB2312"/>
          <w:b/>
          <w:sz w:val="32"/>
          <w:szCs w:val="32"/>
        </w:rPr>
        <w:t>二是新增内控非标审计意见退市情形。</w:t>
      </w:r>
      <w:r>
        <w:rPr>
          <w:rFonts w:ascii="仿宋_GB2312" w:hAnsi="仿宋_GB2312" w:eastAsia="仿宋_GB2312"/>
          <w:sz w:val="32"/>
          <w:szCs w:val="32"/>
        </w:rPr>
        <w:t>内部控制的有效性是公司财务数据真实、准确、完整的重要保障</w:t>
      </w:r>
      <w:r>
        <w:rPr>
          <w:rFonts w:hint="eastAsia" w:ascii="仿宋_GB2312" w:hAnsi="仿宋_GB2312" w:eastAsia="仿宋_GB2312"/>
          <w:sz w:val="32"/>
          <w:szCs w:val="32"/>
        </w:rPr>
        <w:t>，</w:t>
      </w:r>
      <w:r>
        <w:rPr>
          <w:rFonts w:ascii="仿宋_GB2312" w:hAnsi="仿宋_GB2312" w:eastAsia="仿宋_GB2312"/>
          <w:sz w:val="32"/>
          <w:szCs w:val="32"/>
        </w:rPr>
        <w:t>将内控审计意见纳入退市范畴，有利于压实审计机构责任</w:t>
      </w:r>
      <w:r>
        <w:rPr>
          <w:rFonts w:hint="eastAsia" w:ascii="仿宋_GB2312" w:hAnsi="仿宋_GB2312" w:eastAsia="仿宋_GB2312"/>
          <w:sz w:val="32"/>
          <w:szCs w:val="32"/>
        </w:rPr>
        <w:t>，督促规范公司治理</w:t>
      </w:r>
      <w:r>
        <w:rPr>
          <w:rFonts w:ascii="仿宋_GB2312" w:hAnsi="仿宋_GB2312" w:eastAsia="仿宋_GB2312"/>
          <w:sz w:val="32"/>
          <w:szCs w:val="32"/>
        </w:rPr>
        <w:t>。具</w:t>
      </w:r>
      <w:r>
        <w:rPr>
          <w:rFonts w:hint="eastAsia" w:ascii="仿宋_GB2312" w:hAnsi="仿宋_GB2312" w:eastAsia="仿宋_GB2312"/>
          <w:sz w:val="32"/>
          <w:szCs w:val="32"/>
        </w:rPr>
        <w:t xml:space="preserve">                                                                                                                                                                      </w:t>
      </w:r>
      <w:r>
        <w:rPr>
          <w:rFonts w:ascii="仿宋_GB2312" w:hAnsi="仿宋_GB2312" w:eastAsia="仿宋_GB2312"/>
          <w:sz w:val="32"/>
          <w:szCs w:val="32"/>
        </w:rPr>
        <w:t>体指标为，连续两年内部控制审计报告为</w:t>
      </w:r>
      <w:bookmarkStart w:id="0" w:name="_Hlk162101035"/>
      <w:r>
        <w:rPr>
          <w:rFonts w:ascii="仿宋_GB2312" w:hAnsi="仿宋_GB2312" w:eastAsia="仿宋_GB2312"/>
          <w:sz w:val="32"/>
          <w:szCs w:val="32"/>
        </w:rPr>
        <w:t>无法表示意见或者否定意见</w:t>
      </w:r>
      <w:bookmarkEnd w:id="0"/>
      <w:r>
        <w:rPr>
          <w:rFonts w:ascii="仿宋_GB2312" w:hAnsi="仿宋_GB2312" w:eastAsia="仿宋_GB2312"/>
          <w:sz w:val="32"/>
          <w:szCs w:val="32"/>
        </w:rPr>
        <w:t>，或未按照规定披露内部控制审计报告的，公司股票被实施退市风险警示，第三年公司内部控制审计报告为非无保留意见的，对公司股票予以终止上市。</w:t>
      </w:r>
      <w:r>
        <w:rPr>
          <w:rFonts w:ascii="仿宋_GB2312" w:hAnsi="仿宋_GB2312" w:eastAsia="仿宋_GB2312"/>
          <w:b/>
          <w:sz w:val="32"/>
          <w:szCs w:val="32"/>
        </w:rPr>
        <w:t>三是新增控制权无序争夺退市情</w:t>
      </w:r>
      <w:r>
        <w:rPr>
          <w:rFonts w:hint="eastAsia" w:ascii="仿宋_GB2312" w:hAnsi="仿宋_GB2312" w:eastAsia="仿宋_GB2312"/>
          <w:b/>
          <w:sz w:val="32"/>
          <w:szCs w:val="32"/>
        </w:rPr>
        <w:t>形。</w:t>
      </w:r>
      <w:r>
        <w:rPr>
          <w:rFonts w:hint="eastAsia" w:ascii="仿宋_GB2312" w:hAnsi="仿宋_GB2312" w:eastAsia="仿宋_GB2312"/>
          <w:sz w:val="32"/>
          <w:szCs w:val="32"/>
        </w:rPr>
        <w:t>控制权无序争夺严重危害公司治理，扰乱市场秩序。本次修订增加一项信息披露或者规范运作存在重大缺陷退市情形，即“上市公司控制权无序争夺，导致投资者无法获取公司有效信息”。</w:t>
      </w:r>
    </w:p>
    <w:p>
      <w:pPr>
        <w:spacing w:line="600" w:lineRule="exact"/>
        <w:ind w:firstLine="640" w:firstLineChars="200"/>
        <w:rPr>
          <w:rFonts w:ascii="仿宋_GB2312" w:hAnsi="仿宋_GB2312" w:eastAsia="仿宋_GB2312"/>
          <w:b/>
          <w:sz w:val="32"/>
          <w:szCs w:val="32"/>
        </w:rPr>
      </w:pPr>
      <w:r>
        <w:rPr>
          <w:rFonts w:hint="eastAsia" w:ascii="仿宋_GB2312" w:hAnsi="仿宋_GB2312" w:eastAsia="仿宋_GB2312"/>
          <w:b/>
          <w:sz w:val="32"/>
          <w:szCs w:val="32"/>
        </w:rPr>
        <w:t>3.</w:t>
      </w:r>
      <w:r>
        <w:rPr>
          <w:rFonts w:ascii="仿宋_GB2312" w:hAnsi="仿宋_GB2312" w:eastAsia="仿宋_GB2312"/>
          <w:b/>
          <w:sz w:val="32"/>
          <w:szCs w:val="32"/>
        </w:rPr>
        <w:t>完善组合类财务退市指标</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为进一步出清“空壳僵尸”公司，严格撤销退市风险警示的内控规范性要求。本次财务类退市指标主要修订如下：一是科创板组合类财务退市指标在“扣除非经常性损益前后的净利润孰低者为负值”中增加利润总额为负的考察维度，修改后的组合指标为“利润总额、净利润或者扣除非经常性损益后的净利润孰低者为负值且营业收入低于1亿元”。</w:t>
      </w:r>
      <w:r>
        <w:rPr>
          <w:rFonts w:ascii="仿宋_GB2312" w:hAnsi="仿宋_GB2312" w:eastAsia="仿宋_GB2312"/>
          <w:sz w:val="32"/>
          <w:szCs w:val="32"/>
        </w:rPr>
        <w:t>二是增加财务类退市风险警示公司（*ST公司）撤销退市风险警示的条件，要求其内部控制审计报告为无保留意见，否则将予以退市。</w:t>
      </w:r>
    </w:p>
    <w:p>
      <w:pPr>
        <w:spacing w:line="600" w:lineRule="exact"/>
        <w:ind w:firstLine="640" w:firstLineChars="200"/>
        <w:rPr>
          <w:rFonts w:ascii="仿宋_GB2312" w:hAnsi="仿宋_GB2312" w:eastAsia="仿宋_GB2312"/>
          <w:b/>
          <w:bCs/>
          <w:sz w:val="32"/>
          <w:szCs w:val="32"/>
        </w:rPr>
      </w:pPr>
      <w:r>
        <w:rPr>
          <w:rFonts w:hint="eastAsia" w:ascii="仿宋_GB2312" w:hAnsi="仿宋_GB2312" w:eastAsia="仿宋_GB2312"/>
          <w:b/>
          <w:bCs/>
          <w:sz w:val="32"/>
          <w:szCs w:val="32"/>
        </w:rPr>
        <w:t>（二）引入其他风险警示制度</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为落实从严监管要求、切实加强监管约束，科创板拟引入其他风险警示</w:t>
      </w:r>
      <w:r>
        <w:rPr>
          <w:rFonts w:ascii="仿宋_GB2312" w:hAnsi="仿宋_GB2312" w:eastAsia="仿宋_GB2312"/>
          <w:sz w:val="32"/>
          <w:szCs w:val="32"/>
        </w:rPr>
        <w:t>制度</w:t>
      </w:r>
      <w:r>
        <w:rPr>
          <w:rFonts w:hint="eastAsia" w:ascii="仿宋_GB2312" w:hAnsi="仿宋_GB2312" w:eastAsia="仿宋_GB2312"/>
          <w:sz w:val="32"/>
          <w:szCs w:val="32"/>
        </w:rPr>
        <w:t>，针对关联方资金占用、违规担保、公司治理机制失灵、内部控制薄弱、持续经营能力存在不确定性、存在财务造假行为、分红明显不足等情形充分提示上市公司</w:t>
      </w:r>
      <w:r>
        <w:rPr>
          <w:rFonts w:ascii="仿宋_GB2312" w:hAnsi="仿宋_GB2312" w:eastAsia="仿宋_GB2312"/>
          <w:sz w:val="32"/>
          <w:szCs w:val="32"/>
        </w:rPr>
        <w:t>风险</w:t>
      </w:r>
      <w:r>
        <w:rPr>
          <w:rFonts w:hint="eastAsia" w:ascii="仿宋_GB2312" w:hAnsi="仿宋_GB2312" w:eastAsia="仿宋_GB2312"/>
          <w:sz w:val="32"/>
          <w:szCs w:val="32"/>
        </w:rPr>
        <w:t>、保障中小投资者利益。本次修订原则上以借鉴其他板块成熟经验为主，并结合科创板实际情况对分红明显不足的其他风险警示情形设置差异化指标，主要修订要点</w:t>
      </w:r>
      <w:r>
        <w:rPr>
          <w:rFonts w:ascii="仿宋_GB2312" w:hAnsi="仿宋_GB2312" w:eastAsia="仿宋_GB2312"/>
          <w:sz w:val="32"/>
          <w:szCs w:val="32"/>
        </w:rPr>
        <w:t>如下：</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b/>
          <w:bCs/>
          <w:sz w:val="32"/>
          <w:szCs w:val="32"/>
        </w:rPr>
        <w:t>一是新增“其他风险警示”一节，建立科创板其他风险警示制度。</w:t>
      </w:r>
      <w:r>
        <w:rPr>
          <w:rFonts w:hint="eastAsia" w:ascii="仿宋_GB2312" w:hAnsi="仿宋_GB2312" w:eastAsia="仿宋_GB2312"/>
          <w:sz w:val="32"/>
          <w:szCs w:val="32"/>
        </w:rPr>
        <w:t>明确在上市公司出现关联方资金占用或违规担保未及时整改、公司治理机制失灵、内部控制薄弱、持续经营能力存在不确定性等9项情形时，对公司股票实施其他风险警示，并相应规定具体信息披露与停复牌要求、其他风险警示撤销条件与流程等。此外，科创板设置其他风险警示制度，预计将涉及到交易等业务规则的适应性调整，后续将持续推动相关规则修改落地。</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b/>
          <w:bCs/>
          <w:sz w:val="32"/>
          <w:szCs w:val="32"/>
        </w:rPr>
        <w:t>二是将现金分红指标纳入其他风险警示情形，</w:t>
      </w:r>
      <w:r>
        <w:rPr>
          <w:rFonts w:hint="eastAsia" w:ascii="仿宋_GB2312" w:hAnsi="仿宋_GB2312" w:eastAsia="仿宋_GB2312"/>
          <w:b/>
          <w:sz w:val="32"/>
          <w:szCs w:val="32"/>
        </w:rPr>
        <w:t>加强上市公司分红约束。</w:t>
      </w:r>
      <w:r>
        <w:rPr>
          <w:rFonts w:hint="eastAsia" w:ascii="仿宋_GB2312" w:hAnsi="仿宋_GB2312" w:eastAsia="仿宋_GB2312"/>
          <w:sz w:val="32"/>
          <w:szCs w:val="32"/>
        </w:rPr>
        <w:t>进一步明确鼓励公司在具备分红能力的条件下，增加分红频次，稳定投资者预期，积极回报投资者。对于</w:t>
      </w:r>
      <w:r>
        <w:rPr>
          <w:rFonts w:ascii="仿宋_GB2312" w:hAnsi="仿宋_GB2312" w:eastAsia="仿宋_GB2312"/>
          <w:sz w:val="32"/>
          <w:szCs w:val="32"/>
        </w:rPr>
        <w:t>最近一个会计年度净利润和母公司报表未分配利润均为正的公司，</w:t>
      </w:r>
      <w:r>
        <w:rPr>
          <w:rFonts w:hint="eastAsia" w:ascii="仿宋_GB2312" w:hAnsi="仿宋_GB2312" w:eastAsia="仿宋_GB2312"/>
          <w:sz w:val="32"/>
          <w:szCs w:val="32"/>
        </w:rPr>
        <w:t>如果最近三个会计年度累计现金分红总额低于最近三个会计年度年均净利润的</w:t>
      </w:r>
      <w:r>
        <w:rPr>
          <w:rFonts w:ascii="仿宋_GB2312" w:hAnsi="仿宋_GB2312" w:eastAsia="仿宋_GB2312"/>
          <w:sz w:val="32"/>
          <w:szCs w:val="32"/>
        </w:rPr>
        <w:t>30%且最近三个会计年度累计分红金额低于3</w:t>
      </w:r>
      <w:r>
        <w:rPr>
          <w:rFonts w:hint="eastAsia" w:ascii="仿宋_GB2312" w:hAnsi="仿宋_GB2312" w:eastAsia="仿宋_GB2312"/>
          <w:sz w:val="32"/>
          <w:szCs w:val="32"/>
        </w:rPr>
        <w:t>,</w:t>
      </w:r>
      <w:r>
        <w:rPr>
          <w:rFonts w:ascii="仿宋_GB2312" w:hAnsi="仿宋_GB2312" w:eastAsia="仿宋_GB2312"/>
          <w:sz w:val="32"/>
          <w:szCs w:val="32"/>
        </w:rPr>
        <w:t>000万元</w:t>
      </w:r>
      <w:r>
        <w:rPr>
          <w:rFonts w:hint="eastAsia" w:ascii="仿宋_GB2312" w:hAnsi="仿宋_GB2312" w:eastAsia="仿宋_GB2312"/>
          <w:sz w:val="32"/>
          <w:szCs w:val="32"/>
        </w:rPr>
        <w:t>，将被实施其他风险警示。鉴于科创板公司大多处于发展成长期，研发、扩产相关资金支出较高，留存收益用于公司再生产产生的效益可能较直接现金分红更有利于提升投资者回报，因此，具备分红条件但未达到上述分红标准的，如公司最近三个会计年度</w:t>
      </w:r>
      <w:r>
        <w:rPr>
          <w:rFonts w:ascii="仿宋_GB2312" w:hAnsi="仿宋_GB2312" w:eastAsia="仿宋_GB2312"/>
          <w:sz w:val="32"/>
          <w:szCs w:val="32"/>
        </w:rPr>
        <w:t>累计</w:t>
      </w:r>
      <w:r>
        <w:rPr>
          <w:rFonts w:hint="eastAsia" w:ascii="仿宋_GB2312" w:hAnsi="仿宋_GB2312" w:eastAsia="仿宋_GB2312"/>
          <w:sz w:val="32"/>
          <w:szCs w:val="32"/>
        </w:rPr>
        <w:t>研发投入占累计营业收入比例在</w:t>
      </w:r>
      <w:r>
        <w:rPr>
          <w:rFonts w:ascii="仿宋_GB2312" w:hAnsi="仿宋_GB2312" w:eastAsia="仿宋_GB2312"/>
          <w:sz w:val="32"/>
          <w:szCs w:val="32"/>
        </w:rPr>
        <w:t>15%</w:t>
      </w:r>
      <w:r>
        <w:rPr>
          <w:rFonts w:hint="eastAsia" w:ascii="仿宋_GB2312" w:hAnsi="仿宋_GB2312" w:eastAsia="仿宋_GB2312"/>
          <w:sz w:val="32"/>
          <w:szCs w:val="32"/>
        </w:rPr>
        <w:t>以上</w:t>
      </w:r>
      <w:r>
        <w:rPr>
          <w:rFonts w:ascii="仿宋_GB2312" w:hAnsi="仿宋_GB2312" w:eastAsia="仿宋_GB2312"/>
          <w:sz w:val="32"/>
          <w:szCs w:val="32"/>
        </w:rPr>
        <w:t>或者</w:t>
      </w:r>
      <w:r>
        <w:rPr>
          <w:rFonts w:hint="eastAsia" w:ascii="仿宋_GB2312" w:hAnsi="仿宋_GB2312" w:eastAsia="仿宋_GB2312"/>
          <w:sz w:val="32"/>
          <w:szCs w:val="32"/>
        </w:rPr>
        <w:t>累计</w:t>
      </w:r>
      <w:r>
        <w:rPr>
          <w:rFonts w:ascii="仿宋_GB2312" w:hAnsi="仿宋_GB2312" w:eastAsia="仿宋_GB2312"/>
          <w:sz w:val="32"/>
          <w:szCs w:val="32"/>
        </w:rPr>
        <w:t>研发投入</w:t>
      </w:r>
      <w:r>
        <w:rPr>
          <w:rFonts w:hint="eastAsia" w:ascii="仿宋_GB2312" w:hAnsi="仿宋_GB2312" w:eastAsia="仿宋_GB2312"/>
          <w:sz w:val="32"/>
          <w:szCs w:val="32"/>
        </w:rPr>
        <w:t>在3</w:t>
      </w:r>
      <w:r>
        <w:rPr>
          <w:rFonts w:ascii="仿宋_GB2312" w:hAnsi="仿宋_GB2312" w:eastAsia="仿宋_GB2312"/>
          <w:sz w:val="32"/>
          <w:szCs w:val="32"/>
        </w:rPr>
        <w:t>亿元</w:t>
      </w:r>
      <w:r>
        <w:rPr>
          <w:rFonts w:hint="eastAsia" w:ascii="仿宋_GB2312" w:hAnsi="仿宋_GB2312" w:eastAsia="仿宋_GB2312"/>
          <w:sz w:val="32"/>
          <w:szCs w:val="32"/>
        </w:rPr>
        <w:t>以上</w:t>
      </w:r>
      <w:r>
        <w:rPr>
          <w:rFonts w:ascii="仿宋_GB2312" w:hAnsi="仿宋_GB2312" w:eastAsia="仿宋_GB2312"/>
          <w:sz w:val="32"/>
          <w:szCs w:val="32"/>
        </w:rPr>
        <w:t>，不予实施其他风险警示</w:t>
      </w:r>
      <w:r>
        <w:rPr>
          <w:rFonts w:hint="eastAsia" w:ascii="仿宋_GB2312" w:hAnsi="仿宋_GB2312" w:eastAsia="仿宋_GB2312"/>
          <w:sz w:val="32"/>
          <w:szCs w:val="32"/>
        </w:rPr>
        <w:t>。</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b/>
          <w:sz w:val="32"/>
          <w:szCs w:val="32"/>
        </w:rPr>
        <w:t>三是将不触及重大违法强制退市的财务造假行为纳入其他风险警示情形，加大财务造假公司风险揭示力度。</w:t>
      </w:r>
      <w:r>
        <w:rPr>
          <w:rFonts w:hint="eastAsia" w:ascii="仿宋_GB2312" w:hAnsi="仿宋_GB2312" w:eastAsia="仿宋_GB2312"/>
          <w:sz w:val="32"/>
          <w:szCs w:val="32"/>
        </w:rPr>
        <w:t>为加大对财务造假的监管和约束力度，加强财务造假公司的风险揭示和督促整改，形成和财务造假重大违法强制退市制度相呼应的梯度约束机制。同步新增一项其他风险警示情形为“根据中国证监会行政处罚事先告知书载明的事实，公司披露的年度报告财务指标存在虚假记载，前述财务指标包括营业收入、利润总额、净利润、资产负债表中的资产或者负债科目”。公司满足行政处罚决定书做出已满12个月以及公司完成处罚事项的追溯调整等孰晚条件后可以向本所申请撤销其他风险警示。</w:t>
      </w:r>
    </w:p>
    <w:p>
      <w:pPr>
        <w:overflowPunct w:val="0"/>
        <w:snapToGrid w:val="0"/>
        <w:spacing w:line="600" w:lineRule="exact"/>
        <w:ind w:firstLine="640" w:firstLineChars="200"/>
        <w:rPr>
          <w:rFonts w:ascii="仿宋_GB2312" w:hAnsi="仿宋_GB2312" w:eastAsia="黑体" w:cs="黑体"/>
          <w:sz w:val="32"/>
          <w:szCs w:val="32"/>
        </w:rPr>
      </w:pPr>
      <w:r>
        <w:rPr>
          <w:rFonts w:hint="eastAsia" w:ascii="仿宋_GB2312" w:hAnsi="仿宋_GB2312" w:eastAsia="黑体" w:cs="黑体"/>
          <w:sz w:val="32"/>
          <w:szCs w:val="32"/>
        </w:rPr>
        <w:t>三、本次修订的过渡期安排</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退市规则颁布实施，涉及风险警示和退市规则的新老衔接适用问题。考虑到市场承受力和规则接受度，本次修订拟对过渡期安排如下：</w:t>
      </w:r>
    </w:p>
    <w:p>
      <w:pPr>
        <w:spacing w:line="600" w:lineRule="exact"/>
        <w:ind w:firstLine="640" w:firstLineChars="200"/>
        <w:rPr>
          <w:rFonts w:ascii="仿宋_GB2312" w:hAnsi="仿宋_GB2312" w:eastAsia="仿宋_GB2312"/>
          <w:b/>
          <w:bCs/>
          <w:sz w:val="32"/>
          <w:szCs w:val="32"/>
        </w:rPr>
      </w:pPr>
      <w:r>
        <w:rPr>
          <w:rFonts w:hint="eastAsia" w:ascii="仿宋_GB2312" w:hAnsi="仿宋_GB2312" w:eastAsia="仿宋_GB2312"/>
          <w:b/>
          <w:bCs/>
          <w:sz w:val="32"/>
          <w:szCs w:val="32"/>
        </w:rPr>
        <w:t>（一）关于重大违法类强制退市</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1.《</w:t>
      </w:r>
      <w:r>
        <w:rPr>
          <w:rFonts w:hint="eastAsia" w:ascii="仿宋_GB2312" w:hAnsi="仿宋_GB2312" w:eastAsia="仿宋_GB2312" w:cs="仿宋_GB2312"/>
          <w:kern w:val="0"/>
          <w:sz w:val="32"/>
          <w:szCs w:val="32"/>
        </w:rPr>
        <w:t>科创板</w:t>
      </w:r>
      <w:r>
        <w:rPr>
          <w:rFonts w:hint="eastAsia" w:ascii="仿宋_GB2312" w:hAnsi="仿宋_GB2312" w:eastAsia="仿宋_GB2312"/>
          <w:sz w:val="32"/>
          <w:szCs w:val="32"/>
        </w:rPr>
        <w:t>上市规则》发布实施后收到中国证监会行政处罚事先告知书的，适用《</w:t>
      </w:r>
      <w:r>
        <w:rPr>
          <w:rFonts w:hint="eastAsia" w:ascii="仿宋_GB2312" w:hAnsi="仿宋_GB2312" w:eastAsia="仿宋_GB2312" w:cs="仿宋_GB2312"/>
          <w:kern w:val="0"/>
          <w:sz w:val="32"/>
          <w:szCs w:val="32"/>
        </w:rPr>
        <w:t>科创板</w:t>
      </w:r>
      <w:r>
        <w:rPr>
          <w:rFonts w:hint="eastAsia" w:ascii="仿宋_GB2312" w:hAnsi="仿宋_GB2312" w:eastAsia="仿宋_GB2312"/>
          <w:sz w:val="32"/>
          <w:szCs w:val="32"/>
        </w:rPr>
        <w:t>上市规则》关于重大违法强制退市的规定。《</w:t>
      </w:r>
      <w:r>
        <w:rPr>
          <w:rFonts w:hint="eastAsia" w:ascii="仿宋_GB2312" w:hAnsi="仿宋_GB2312" w:eastAsia="仿宋_GB2312" w:cs="仿宋_GB2312"/>
          <w:kern w:val="0"/>
          <w:sz w:val="32"/>
          <w:szCs w:val="32"/>
        </w:rPr>
        <w:t>科创板</w:t>
      </w:r>
      <w:r>
        <w:rPr>
          <w:rFonts w:hint="eastAsia" w:ascii="仿宋_GB2312" w:hAnsi="仿宋_GB2312" w:eastAsia="仿宋_GB2312"/>
          <w:sz w:val="32"/>
          <w:szCs w:val="32"/>
        </w:rPr>
        <w:t>上市规则》发布实施前收到中国证监会行政处罚事先告知书但尚未作出行政处罚决定的，适用原《科创板上市规则》。</w:t>
      </w:r>
    </w:p>
    <w:p>
      <w:pPr>
        <w:widowControl/>
        <w:shd w:val="clear" w:color="auto" w:fill="FFFFFF"/>
        <w:spacing w:line="600"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w:t>
      </w:r>
      <w:r>
        <w:rPr>
          <w:rFonts w:hint="eastAsia" w:ascii="仿宋_GB2312" w:hAnsi="仿宋_GB2312" w:eastAsia="仿宋_GB2312"/>
          <w:sz w:val="32"/>
          <w:szCs w:val="32"/>
        </w:rPr>
        <w:t>《</w:t>
      </w:r>
      <w:r>
        <w:rPr>
          <w:rFonts w:hint="eastAsia" w:ascii="仿宋_GB2312" w:hAnsi="仿宋_GB2312" w:eastAsia="仿宋_GB2312" w:cs="仿宋_GB2312"/>
          <w:kern w:val="0"/>
          <w:sz w:val="32"/>
          <w:szCs w:val="32"/>
        </w:rPr>
        <w:t>科创板</w:t>
      </w:r>
      <w:r>
        <w:rPr>
          <w:rFonts w:hint="eastAsia" w:ascii="仿宋_GB2312" w:hAnsi="仿宋_GB2312" w:eastAsia="仿宋_GB2312"/>
          <w:sz w:val="32"/>
          <w:szCs w:val="32"/>
        </w:rPr>
        <w:t>上市规则》第12.2.2条</w:t>
      </w:r>
      <w:r>
        <w:rPr>
          <w:rFonts w:ascii="仿宋_GB2312" w:hAnsi="仿宋_GB2312" w:eastAsia="仿宋_GB2312" w:cs="仿宋_GB2312"/>
          <w:color w:val="000000" w:themeColor="text1"/>
          <w:kern w:val="0"/>
          <w:sz w:val="32"/>
          <w:szCs w:val="32"/>
          <w14:textFill>
            <w14:solidFill>
              <w14:schemeClr w14:val="tx1"/>
            </w14:solidFill>
          </w14:textFill>
        </w:rPr>
        <w:t>第（</w:t>
      </w:r>
      <w:r>
        <w:rPr>
          <w:rFonts w:hint="eastAsia" w:ascii="仿宋_GB2312" w:hAnsi="仿宋_GB2312" w:eastAsia="仿宋_GB2312" w:cs="仿宋_GB2312"/>
          <w:color w:val="000000" w:themeColor="text1"/>
          <w:kern w:val="0"/>
          <w:sz w:val="32"/>
          <w:szCs w:val="32"/>
          <w14:textFill>
            <w14:solidFill>
              <w14:schemeClr w14:val="tx1"/>
            </w14:solidFill>
          </w14:textFill>
        </w:rPr>
        <w:t>四</w:t>
      </w:r>
      <w:r>
        <w:rPr>
          <w:rFonts w:ascii="仿宋_GB2312" w:hAnsi="仿宋_GB2312" w:eastAsia="仿宋_GB2312" w:cs="仿宋_GB2312"/>
          <w:color w:val="000000" w:themeColor="text1"/>
          <w:kern w:val="0"/>
          <w:sz w:val="32"/>
          <w:szCs w:val="32"/>
          <w14:textFill>
            <w14:solidFill>
              <w14:schemeClr w14:val="tx1"/>
            </w14:solidFill>
          </w14:textFill>
        </w:rPr>
        <w:t>）项、第（</w:t>
      </w:r>
      <w:r>
        <w:rPr>
          <w:rFonts w:hint="eastAsia" w:ascii="仿宋_GB2312" w:hAnsi="仿宋_GB2312" w:eastAsia="仿宋_GB2312" w:cs="仿宋_GB2312"/>
          <w:color w:val="000000" w:themeColor="text1"/>
          <w:kern w:val="0"/>
          <w:sz w:val="32"/>
          <w:szCs w:val="32"/>
          <w14:textFill>
            <w14:solidFill>
              <w14:schemeClr w14:val="tx1"/>
            </w14:solidFill>
          </w14:textFill>
        </w:rPr>
        <w:t>五</w:t>
      </w:r>
      <w:r>
        <w:rPr>
          <w:rFonts w:ascii="仿宋_GB2312" w:hAnsi="仿宋_GB2312" w:eastAsia="仿宋_GB2312" w:cs="仿宋_GB2312"/>
          <w:color w:val="000000" w:themeColor="text1"/>
          <w:kern w:val="0"/>
          <w:sz w:val="32"/>
          <w:szCs w:val="32"/>
          <w14:textFill>
            <w14:solidFill>
              <w14:schemeClr w14:val="tx1"/>
            </w14:solidFill>
          </w14:textFill>
        </w:rPr>
        <w:t>）项</w:t>
      </w:r>
      <w:r>
        <w:rPr>
          <w:rFonts w:hint="eastAsia" w:ascii="仿宋_GB2312" w:hAnsi="仿宋_GB2312" w:eastAsia="仿宋_GB2312" w:cs="仿宋_GB2312"/>
          <w:color w:val="000000" w:themeColor="text1"/>
          <w:kern w:val="0"/>
          <w:sz w:val="32"/>
          <w:szCs w:val="32"/>
          <w14:textFill>
            <w14:solidFill>
              <w14:schemeClr w14:val="tx1"/>
            </w14:solidFill>
          </w14:textFill>
        </w:rPr>
        <w:t>规定的重大违法强制退市情形，适用于20</w:t>
      </w:r>
      <w:r>
        <w:rPr>
          <w:rFonts w:ascii="仿宋_GB2312" w:hAnsi="仿宋_GB2312" w:eastAsia="仿宋_GB2312" w:cs="仿宋_GB2312"/>
          <w:color w:val="000000" w:themeColor="text1"/>
          <w:kern w:val="0"/>
          <w:sz w:val="32"/>
          <w:szCs w:val="32"/>
          <w14:textFill>
            <w14:solidFill>
              <w14:schemeClr w14:val="tx1"/>
            </w14:solidFill>
          </w14:textFill>
        </w:rPr>
        <w:t>24</w:t>
      </w:r>
      <w:r>
        <w:rPr>
          <w:rFonts w:hint="eastAsia" w:ascii="仿宋_GB2312" w:hAnsi="仿宋_GB2312" w:eastAsia="仿宋_GB2312" w:cs="仿宋_GB2312"/>
          <w:color w:val="000000" w:themeColor="text1"/>
          <w:kern w:val="0"/>
          <w:sz w:val="32"/>
          <w:szCs w:val="32"/>
          <w14:textFill>
            <w14:solidFill>
              <w14:schemeClr w14:val="tx1"/>
            </w14:solidFill>
          </w14:textFill>
        </w:rPr>
        <w:t>年度及以后年度的虚假记载行为；</w:t>
      </w:r>
      <w:r>
        <w:rPr>
          <w:rFonts w:hint="eastAsia" w:ascii="仿宋_GB2312" w:hAnsi="仿宋_GB2312" w:eastAsia="仿宋_GB2312"/>
          <w:sz w:val="32"/>
          <w:szCs w:val="32"/>
        </w:rPr>
        <w:t>《</w:t>
      </w:r>
      <w:r>
        <w:rPr>
          <w:rFonts w:hint="eastAsia" w:ascii="仿宋_GB2312" w:hAnsi="仿宋_GB2312" w:eastAsia="仿宋_GB2312" w:cs="仿宋_GB2312"/>
          <w:kern w:val="0"/>
          <w:sz w:val="32"/>
          <w:szCs w:val="32"/>
        </w:rPr>
        <w:t>科创板</w:t>
      </w:r>
      <w:r>
        <w:rPr>
          <w:rFonts w:hint="eastAsia" w:ascii="仿宋_GB2312" w:hAnsi="仿宋_GB2312" w:eastAsia="仿宋_GB2312"/>
          <w:sz w:val="32"/>
          <w:szCs w:val="32"/>
        </w:rPr>
        <w:t>上市规则》第12.2.2条</w:t>
      </w:r>
      <w:r>
        <w:rPr>
          <w:rFonts w:hint="eastAsia" w:ascii="仿宋_GB2312" w:hAnsi="仿宋_GB2312" w:eastAsia="仿宋_GB2312" w:cs="仿宋_GB2312"/>
          <w:color w:val="000000" w:themeColor="text1"/>
          <w:kern w:val="0"/>
          <w:sz w:val="32"/>
          <w:szCs w:val="32"/>
          <w14:textFill>
            <w14:solidFill>
              <w14:schemeClr w14:val="tx1"/>
            </w14:solidFill>
          </w14:textFill>
        </w:rPr>
        <w:t>第（六）项规定的重大违法强制退市情形，适用于2020年度及以后年度的</w:t>
      </w:r>
      <w:r>
        <w:rPr>
          <w:rFonts w:ascii="仿宋_GB2312" w:hAnsi="仿宋_GB2312" w:eastAsia="仿宋_GB2312" w:cs="仿宋_GB2312"/>
          <w:color w:val="000000" w:themeColor="text1"/>
          <w:kern w:val="0"/>
          <w:sz w:val="32"/>
          <w:szCs w:val="32"/>
          <w14:textFill>
            <w14:solidFill>
              <w14:schemeClr w14:val="tx1"/>
            </w14:solidFill>
          </w14:textFill>
        </w:rPr>
        <w:t>虚假记载行为</w:t>
      </w:r>
      <w:r>
        <w:rPr>
          <w:rFonts w:hint="eastAsia" w:ascii="仿宋_GB2312" w:hAnsi="仿宋_GB2312" w:eastAsia="仿宋_GB2312" w:cs="仿宋_GB2312"/>
          <w:color w:val="000000" w:themeColor="text1"/>
          <w:kern w:val="0"/>
          <w:sz w:val="32"/>
          <w:szCs w:val="32"/>
          <w14:textFill>
            <w14:solidFill>
              <w14:schemeClr w14:val="tx1"/>
            </w14:solidFill>
          </w14:textFill>
        </w:rPr>
        <w:t>。</w:t>
      </w:r>
    </w:p>
    <w:p>
      <w:pPr>
        <w:widowControl/>
        <w:shd w:val="clear" w:color="auto" w:fill="FFFFFF"/>
        <w:spacing w:line="600" w:lineRule="exact"/>
        <w:ind w:firstLine="640" w:firstLineChars="200"/>
        <w:rPr>
          <w:rFonts w:ascii="仿宋_GB2312" w:hAnsi="仿宋_GB2312" w:eastAsia="仿宋_GB2312"/>
          <w:sz w:val="32"/>
          <w:szCs w:val="32"/>
        </w:rPr>
      </w:pPr>
      <w:r>
        <w:rPr>
          <w:rFonts w:hint="eastAsia" w:ascii="仿宋_GB2312" w:hAnsi="仿宋_GB2312" w:eastAsia="仿宋_GB2312" w:cs="仿宋_GB2312"/>
          <w:color w:val="000000" w:themeColor="text1"/>
          <w:kern w:val="0"/>
          <w:sz w:val="32"/>
          <w:szCs w:val="32"/>
          <w14:textFill>
            <w14:solidFill>
              <w14:schemeClr w14:val="tx1"/>
            </w14:solidFill>
          </w14:textFill>
        </w:rPr>
        <w:t>3.对于《</w:t>
      </w:r>
      <w:r>
        <w:rPr>
          <w:rFonts w:hint="eastAsia" w:ascii="仿宋_GB2312" w:hAnsi="仿宋_GB2312" w:eastAsia="仿宋_GB2312" w:cs="仿宋_GB2312"/>
          <w:kern w:val="0"/>
          <w:sz w:val="32"/>
          <w:szCs w:val="32"/>
        </w:rPr>
        <w:t>科创板</w:t>
      </w:r>
      <w:r>
        <w:rPr>
          <w:rFonts w:hint="eastAsia" w:ascii="仿宋_GB2312" w:hAnsi="仿宋_GB2312" w:eastAsia="仿宋_GB2312" w:cs="仿宋_GB2312"/>
          <w:color w:val="000000" w:themeColor="text1"/>
          <w:kern w:val="0"/>
          <w:sz w:val="32"/>
          <w:szCs w:val="32"/>
          <w14:textFill>
            <w14:solidFill>
              <w14:schemeClr w14:val="tx1"/>
            </w14:solidFill>
          </w14:textFill>
        </w:rPr>
        <w:t>上市规则》发布实施后收到中国证监会行政处罚事先告知书且可能触及重大违法强制退市情形的公司，依据后续行政处罚决定书载明的事实，导致公司任意连续年度财务指标实际已触及相应年度的终止上市情形，本所按照《</w:t>
      </w:r>
      <w:r>
        <w:rPr>
          <w:rFonts w:hint="eastAsia" w:ascii="仿宋_GB2312" w:hAnsi="仿宋_GB2312" w:eastAsia="仿宋_GB2312" w:cs="仿宋_GB2312"/>
          <w:kern w:val="0"/>
          <w:sz w:val="32"/>
          <w:szCs w:val="32"/>
        </w:rPr>
        <w:t>科创板</w:t>
      </w:r>
      <w:r>
        <w:rPr>
          <w:rFonts w:hint="eastAsia" w:ascii="仿宋_GB2312" w:hAnsi="仿宋_GB2312" w:eastAsia="仿宋_GB2312" w:cs="仿宋_GB2312"/>
          <w:color w:val="000000" w:themeColor="text1"/>
          <w:kern w:val="0"/>
          <w:sz w:val="32"/>
          <w:szCs w:val="32"/>
          <w14:textFill>
            <w14:solidFill>
              <w14:schemeClr w14:val="tx1"/>
            </w14:solidFill>
          </w14:textFill>
        </w:rPr>
        <w:t>上市规则》规定的程序对其股票实施重大违法强制退市。</w:t>
      </w:r>
    </w:p>
    <w:p>
      <w:pPr>
        <w:spacing w:line="600" w:lineRule="exact"/>
        <w:ind w:firstLine="640" w:firstLineChars="200"/>
        <w:rPr>
          <w:rFonts w:ascii="仿宋_GB2312" w:hAnsi="仿宋_GB2312" w:eastAsia="仿宋_GB2312"/>
          <w:b/>
          <w:bCs/>
          <w:sz w:val="32"/>
          <w:szCs w:val="32"/>
        </w:rPr>
      </w:pPr>
      <w:r>
        <w:rPr>
          <w:rFonts w:hint="eastAsia" w:ascii="仿宋_GB2312" w:hAnsi="仿宋_GB2312" w:eastAsia="仿宋_GB2312"/>
          <w:b/>
          <w:bCs/>
          <w:sz w:val="32"/>
          <w:szCs w:val="32"/>
        </w:rPr>
        <w:t>（二）关于规范类强制退市</w:t>
      </w:r>
    </w:p>
    <w:p>
      <w:pPr>
        <w:widowControl/>
        <w:shd w:val="clear" w:color="auto" w:fill="FFFFFF"/>
        <w:spacing w:line="600"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1.</w:t>
      </w:r>
      <w:r>
        <w:rPr>
          <w:rFonts w:hint="eastAsia" w:ascii="仿宋_GB2312" w:hAnsi="仿宋_GB2312" w:eastAsia="仿宋_GB2312"/>
          <w:sz w:val="32"/>
          <w:szCs w:val="32"/>
        </w:rPr>
        <w:t>《</w:t>
      </w:r>
      <w:r>
        <w:rPr>
          <w:rFonts w:hint="eastAsia" w:ascii="仿宋_GB2312" w:hAnsi="仿宋_GB2312" w:eastAsia="仿宋_GB2312" w:cs="仿宋_GB2312"/>
          <w:kern w:val="0"/>
          <w:sz w:val="32"/>
          <w:szCs w:val="32"/>
        </w:rPr>
        <w:t>科创板</w:t>
      </w:r>
      <w:r>
        <w:rPr>
          <w:rFonts w:hint="eastAsia" w:ascii="仿宋_GB2312" w:hAnsi="仿宋_GB2312" w:eastAsia="仿宋_GB2312"/>
          <w:sz w:val="32"/>
          <w:szCs w:val="32"/>
        </w:rPr>
        <w:t>上市规则》</w:t>
      </w:r>
      <w:r>
        <w:rPr>
          <w:rFonts w:hint="eastAsia" w:ascii="仿宋_GB2312" w:hAnsi="仿宋_GB2312" w:eastAsia="仿宋_GB2312" w:cs="仿宋_GB2312"/>
          <w:color w:val="000000" w:themeColor="text1"/>
          <w:kern w:val="0"/>
          <w:sz w:val="32"/>
          <w:szCs w:val="32"/>
          <w14:textFill>
            <w14:solidFill>
              <w14:schemeClr w14:val="tx1"/>
            </w14:solidFill>
          </w14:textFill>
        </w:rPr>
        <w:t>发布实施后上市公司因控股股东及其关联方非经营性占用资金被中国证监会责令改正但公司未在规定期限内改正的，自</w:t>
      </w:r>
      <w:r>
        <w:rPr>
          <w:rFonts w:hint="eastAsia" w:ascii="仿宋_GB2312" w:hAnsi="仿宋_GB2312" w:eastAsia="仿宋_GB2312"/>
          <w:sz w:val="32"/>
          <w:szCs w:val="32"/>
        </w:rPr>
        <w:t>《</w:t>
      </w:r>
      <w:r>
        <w:rPr>
          <w:rFonts w:hint="eastAsia" w:ascii="仿宋_GB2312" w:hAnsi="仿宋_GB2312" w:eastAsia="仿宋_GB2312" w:cs="仿宋_GB2312"/>
          <w:kern w:val="0"/>
          <w:sz w:val="32"/>
          <w:szCs w:val="32"/>
        </w:rPr>
        <w:t>科创板</w:t>
      </w:r>
      <w:r>
        <w:rPr>
          <w:rFonts w:hint="eastAsia" w:ascii="仿宋_GB2312" w:hAnsi="仿宋_GB2312" w:eastAsia="仿宋_GB2312"/>
          <w:sz w:val="32"/>
          <w:szCs w:val="32"/>
        </w:rPr>
        <w:t>上市规则》</w:t>
      </w:r>
      <w:r>
        <w:rPr>
          <w:rFonts w:hint="eastAsia" w:ascii="仿宋_GB2312" w:hAnsi="仿宋_GB2312" w:eastAsia="仿宋_GB2312" w:cs="仿宋_GB2312"/>
          <w:color w:val="000000" w:themeColor="text1"/>
          <w:kern w:val="0"/>
          <w:sz w:val="32"/>
          <w:szCs w:val="32"/>
          <w14:textFill>
            <w14:solidFill>
              <w14:schemeClr w14:val="tx1"/>
            </w14:solidFill>
          </w14:textFill>
        </w:rPr>
        <w:t>发布实施之日起适用第</w:t>
      </w:r>
      <w:r>
        <w:rPr>
          <w:rFonts w:hint="eastAsia" w:ascii="仿宋_GB2312" w:hAnsi="仿宋_GB2312" w:eastAsia="仿宋_GB2312"/>
          <w:sz w:val="32"/>
          <w:szCs w:val="32"/>
        </w:rPr>
        <w:t>12.5.1</w:t>
      </w:r>
      <w:r>
        <w:rPr>
          <w:rFonts w:hint="eastAsia" w:ascii="仿宋_GB2312" w:hAnsi="仿宋_GB2312" w:eastAsia="仿宋_GB2312" w:cs="仿宋_GB2312"/>
          <w:color w:val="000000" w:themeColor="text1"/>
          <w:kern w:val="0"/>
          <w:sz w:val="32"/>
          <w:szCs w:val="32"/>
          <w14:textFill>
            <w14:solidFill>
              <w14:schemeClr w14:val="tx1"/>
            </w14:solidFill>
          </w14:textFill>
        </w:rPr>
        <w:t>条第一款第（五）项规定的规范类强制退市情形。</w:t>
      </w:r>
    </w:p>
    <w:p>
      <w:pPr>
        <w:widowControl/>
        <w:shd w:val="clear" w:color="auto" w:fill="FFFFFF"/>
        <w:spacing w:line="600"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sz w:val="32"/>
          <w:szCs w:val="32"/>
        </w:rPr>
        <w:t>《</w:t>
      </w:r>
      <w:r>
        <w:rPr>
          <w:rFonts w:hint="eastAsia" w:ascii="仿宋_GB2312" w:hAnsi="仿宋_GB2312" w:eastAsia="仿宋_GB2312" w:cs="仿宋_GB2312"/>
          <w:kern w:val="0"/>
          <w:sz w:val="32"/>
          <w:szCs w:val="32"/>
        </w:rPr>
        <w:t>科创板</w:t>
      </w:r>
      <w:r>
        <w:rPr>
          <w:rFonts w:hint="eastAsia" w:ascii="仿宋_GB2312" w:hAnsi="仿宋_GB2312" w:eastAsia="仿宋_GB2312"/>
          <w:sz w:val="32"/>
          <w:szCs w:val="32"/>
        </w:rPr>
        <w:t>上市规则》</w:t>
      </w:r>
      <w:r>
        <w:rPr>
          <w:rFonts w:hint="eastAsia" w:ascii="仿宋_GB2312" w:hAnsi="仿宋_GB2312" w:eastAsia="仿宋_GB2312" w:cs="仿宋_GB2312"/>
          <w:color w:val="000000" w:themeColor="text1"/>
          <w:kern w:val="0"/>
          <w:sz w:val="32"/>
          <w:szCs w:val="32"/>
          <w14:textFill>
            <w14:solidFill>
              <w14:schemeClr w14:val="tx1"/>
            </w14:solidFill>
          </w14:textFill>
        </w:rPr>
        <w:t>发布实施前，实施非经营性占用资金的控股股东、实际控制人已经发生变化，且现任实际控制人与</w:t>
      </w:r>
      <w:r>
        <w:rPr>
          <w:rFonts w:ascii="仿宋_GB2312" w:hAnsi="仿宋_GB2312" w:eastAsia="仿宋_GB2312" w:cs="仿宋_GB2312"/>
          <w:color w:val="000000" w:themeColor="text1"/>
          <w:kern w:val="0"/>
          <w:sz w:val="32"/>
          <w:szCs w:val="32"/>
          <w14:textFill>
            <w14:solidFill>
              <w14:schemeClr w14:val="tx1"/>
            </w14:solidFill>
          </w14:textFill>
        </w:rPr>
        <w:t>资金占用方</w:t>
      </w:r>
      <w:r>
        <w:rPr>
          <w:rFonts w:hint="eastAsia" w:ascii="仿宋_GB2312" w:hAnsi="仿宋_GB2312" w:eastAsia="仿宋_GB2312" w:cs="仿宋_GB2312"/>
          <w:color w:val="000000" w:themeColor="text1"/>
          <w:kern w:val="0"/>
          <w:sz w:val="32"/>
          <w:szCs w:val="32"/>
          <w14:textFill>
            <w14:solidFill>
              <w14:schemeClr w14:val="tx1"/>
            </w14:solidFill>
          </w14:textFill>
        </w:rPr>
        <w:t>无关联关系的，不适用《科创板上市规则》第</w:t>
      </w:r>
      <w:r>
        <w:rPr>
          <w:rFonts w:hint="eastAsia" w:ascii="仿宋_GB2312" w:hAnsi="仿宋_GB2312" w:eastAsia="仿宋_GB2312"/>
          <w:sz w:val="32"/>
          <w:szCs w:val="32"/>
        </w:rPr>
        <w:t>12.5.1</w:t>
      </w:r>
      <w:r>
        <w:rPr>
          <w:rFonts w:ascii="仿宋_GB2312" w:hAnsi="仿宋_GB2312" w:eastAsia="仿宋_GB2312" w:cs="仿宋_GB2312"/>
          <w:color w:val="000000" w:themeColor="text1"/>
          <w:kern w:val="0"/>
          <w:sz w:val="32"/>
          <w:szCs w:val="32"/>
          <w14:textFill>
            <w14:solidFill>
              <w14:schemeClr w14:val="tx1"/>
            </w14:solidFill>
          </w14:textFill>
        </w:rPr>
        <w:t>条第一款第（五）</w:t>
      </w:r>
      <w:r>
        <w:rPr>
          <w:rFonts w:hint="eastAsia" w:ascii="仿宋_GB2312" w:hAnsi="仿宋_GB2312" w:eastAsia="仿宋_GB2312" w:cs="仿宋_GB2312"/>
          <w:color w:val="000000" w:themeColor="text1"/>
          <w:kern w:val="0"/>
          <w:sz w:val="32"/>
          <w:szCs w:val="32"/>
          <w14:textFill>
            <w14:solidFill>
              <w14:schemeClr w14:val="tx1"/>
            </w14:solidFill>
          </w14:textFill>
        </w:rPr>
        <w:t>项规定的规范类强制退市情形。对于《科创板上市规则》发布</w:t>
      </w:r>
      <w:r>
        <w:rPr>
          <w:rFonts w:ascii="仿宋_GB2312" w:hAnsi="仿宋_GB2312" w:eastAsia="仿宋_GB2312" w:cs="仿宋_GB2312"/>
          <w:color w:val="000000" w:themeColor="text1"/>
          <w:kern w:val="0"/>
          <w:sz w:val="32"/>
          <w:szCs w:val="32"/>
          <w14:textFill>
            <w14:solidFill>
              <w14:schemeClr w14:val="tx1"/>
            </w14:solidFill>
          </w14:textFill>
        </w:rPr>
        <w:t>实施后实际</w:t>
      </w:r>
      <w:r>
        <w:rPr>
          <w:rFonts w:hint="eastAsia" w:ascii="仿宋_GB2312" w:hAnsi="仿宋_GB2312" w:eastAsia="仿宋_GB2312" w:cs="仿宋_GB2312"/>
          <w:color w:val="000000" w:themeColor="text1"/>
          <w:kern w:val="0"/>
          <w:sz w:val="32"/>
          <w:szCs w:val="32"/>
          <w14:textFill>
            <w14:solidFill>
              <w14:schemeClr w14:val="tx1"/>
            </w14:solidFill>
          </w14:textFill>
        </w:rPr>
        <w:t>控制人</w:t>
      </w:r>
      <w:r>
        <w:rPr>
          <w:rFonts w:ascii="仿宋_GB2312" w:hAnsi="仿宋_GB2312" w:eastAsia="仿宋_GB2312" w:cs="仿宋_GB2312"/>
          <w:color w:val="000000" w:themeColor="text1"/>
          <w:kern w:val="0"/>
          <w:sz w:val="32"/>
          <w:szCs w:val="32"/>
          <w14:textFill>
            <w14:solidFill>
              <w14:schemeClr w14:val="tx1"/>
            </w14:solidFill>
          </w14:textFill>
        </w:rPr>
        <w:t>发生变化的，将</w:t>
      </w:r>
      <w:r>
        <w:rPr>
          <w:rFonts w:hint="eastAsia" w:ascii="仿宋_GB2312" w:hAnsi="仿宋_GB2312" w:eastAsia="仿宋_GB2312" w:cs="仿宋_GB2312"/>
          <w:color w:val="000000" w:themeColor="text1"/>
          <w:kern w:val="0"/>
          <w:sz w:val="32"/>
          <w:szCs w:val="32"/>
          <w14:textFill>
            <w14:solidFill>
              <w14:schemeClr w14:val="tx1"/>
            </w14:solidFill>
          </w14:textFill>
        </w:rPr>
        <w:t>适用《科创板上市规则》第12.5.1条第一款第（五）项规定的规范类强制退市情形。</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2.在适用《</w:t>
      </w:r>
      <w:r>
        <w:rPr>
          <w:rFonts w:hint="eastAsia" w:ascii="仿宋_GB2312" w:hAnsi="仿宋_GB2312" w:eastAsia="仿宋_GB2312" w:cs="仿宋_GB2312"/>
          <w:kern w:val="0"/>
          <w:sz w:val="32"/>
          <w:szCs w:val="32"/>
        </w:rPr>
        <w:t>科创板</w:t>
      </w:r>
      <w:r>
        <w:rPr>
          <w:rFonts w:hint="eastAsia" w:ascii="仿宋_GB2312" w:hAnsi="仿宋_GB2312" w:eastAsia="仿宋_GB2312"/>
          <w:sz w:val="32"/>
          <w:szCs w:val="32"/>
        </w:rPr>
        <w:t>上市规则》第12.5.1条第一款第（六）项规定的内部控制审计意见规范类强制退市情形时，以2024年为首个起算年度。</w:t>
      </w:r>
    </w:p>
    <w:p>
      <w:pPr>
        <w:spacing w:line="600" w:lineRule="exact"/>
        <w:ind w:firstLine="640" w:firstLineChars="200"/>
        <w:rPr>
          <w:rFonts w:ascii="仿宋_GB2312" w:hAnsi="仿宋_GB2312" w:eastAsia="仿宋_GB2312"/>
          <w:b/>
          <w:bCs/>
          <w:sz w:val="32"/>
          <w:szCs w:val="32"/>
        </w:rPr>
      </w:pPr>
      <w:r>
        <w:rPr>
          <w:rFonts w:hint="eastAsia" w:ascii="仿宋_GB2312" w:hAnsi="仿宋_GB2312" w:eastAsia="仿宋_GB2312"/>
          <w:b/>
          <w:bCs/>
          <w:sz w:val="32"/>
          <w:szCs w:val="32"/>
        </w:rPr>
        <w:t>（三）关于财务类强制退市</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1.《</w:t>
      </w:r>
      <w:r>
        <w:rPr>
          <w:rFonts w:hint="eastAsia" w:ascii="仿宋_GB2312" w:hAnsi="仿宋_GB2312" w:eastAsia="仿宋_GB2312" w:cs="仿宋_GB2312"/>
          <w:kern w:val="0"/>
          <w:sz w:val="32"/>
          <w:szCs w:val="32"/>
        </w:rPr>
        <w:t>科创板</w:t>
      </w:r>
      <w:r>
        <w:rPr>
          <w:rFonts w:hint="eastAsia" w:ascii="仿宋_GB2312" w:hAnsi="仿宋_GB2312" w:eastAsia="仿宋_GB2312"/>
          <w:sz w:val="32"/>
          <w:szCs w:val="32"/>
        </w:rPr>
        <w:t>上市规则》第12.4.2条第一款第（一）项规定的财务类强制退市情形、第12.4.</w:t>
      </w:r>
      <w:r>
        <w:rPr>
          <w:rFonts w:ascii="仿宋_GB2312" w:hAnsi="仿宋_GB2312" w:eastAsia="仿宋_GB2312"/>
          <w:sz w:val="32"/>
          <w:szCs w:val="32"/>
        </w:rPr>
        <w:t>10</w:t>
      </w:r>
      <w:r>
        <w:rPr>
          <w:rFonts w:hint="eastAsia" w:ascii="仿宋_GB2312" w:hAnsi="仿宋_GB2312" w:eastAsia="仿宋_GB2312"/>
          <w:sz w:val="32"/>
          <w:szCs w:val="32"/>
        </w:rPr>
        <w:t>条第一款第（三）项规定，自2025年1月1日起</w:t>
      </w:r>
      <w:r>
        <w:rPr>
          <w:rFonts w:ascii="仿宋_GB2312" w:hAnsi="仿宋_GB2312" w:eastAsia="仿宋_GB2312"/>
          <w:sz w:val="32"/>
          <w:szCs w:val="32"/>
        </w:rPr>
        <w:t>施行，即</w:t>
      </w:r>
      <w:r>
        <w:rPr>
          <w:rFonts w:hint="eastAsia" w:ascii="仿宋_GB2312" w:hAnsi="仿宋_GB2312" w:eastAsia="仿宋_GB2312"/>
          <w:sz w:val="32"/>
          <w:szCs w:val="32"/>
        </w:rPr>
        <w:t>上市</w:t>
      </w:r>
      <w:r>
        <w:rPr>
          <w:rFonts w:ascii="仿宋_GB2312" w:hAnsi="仿宋_GB2312" w:eastAsia="仿宋_GB2312"/>
          <w:sz w:val="32"/>
          <w:szCs w:val="32"/>
        </w:rPr>
        <w:t>公司</w:t>
      </w:r>
      <w:r>
        <w:rPr>
          <w:rFonts w:hint="eastAsia" w:ascii="仿宋_GB2312" w:hAnsi="仿宋_GB2312" w:eastAsia="仿宋_GB2312"/>
          <w:sz w:val="32"/>
          <w:szCs w:val="32"/>
        </w:rPr>
        <w:t>2024年年报为首个适用的</w:t>
      </w:r>
      <w:r>
        <w:rPr>
          <w:rFonts w:ascii="仿宋_GB2312" w:hAnsi="仿宋_GB2312" w:eastAsia="仿宋_GB2312"/>
          <w:sz w:val="32"/>
          <w:szCs w:val="32"/>
        </w:rPr>
        <w:t>年度报告</w:t>
      </w:r>
      <w:r>
        <w:rPr>
          <w:rFonts w:hint="eastAsia" w:ascii="仿宋_GB2312" w:hAnsi="仿宋_GB2312" w:eastAsia="仿宋_GB2312"/>
          <w:sz w:val="32"/>
          <w:szCs w:val="32"/>
        </w:rPr>
        <w:t>。</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2.对于2023年年报披露后因触及原《</w:t>
      </w:r>
      <w:r>
        <w:rPr>
          <w:rFonts w:hint="eastAsia" w:ascii="仿宋_GB2312" w:hAnsi="仿宋_GB2312" w:eastAsia="仿宋_GB2312" w:cs="仿宋_GB2312"/>
          <w:kern w:val="0"/>
          <w:sz w:val="32"/>
          <w:szCs w:val="32"/>
        </w:rPr>
        <w:t>科创板</w:t>
      </w:r>
      <w:r>
        <w:rPr>
          <w:rFonts w:hint="eastAsia" w:ascii="仿宋_GB2312" w:hAnsi="仿宋_GB2312" w:eastAsia="仿宋_GB2312"/>
          <w:sz w:val="32"/>
          <w:szCs w:val="32"/>
        </w:rPr>
        <w:t>上市规则》相关情形被实施财务类强制退市风险警示的公司，在披露2024年年报时应当符合《</w:t>
      </w:r>
      <w:r>
        <w:rPr>
          <w:rFonts w:hint="eastAsia" w:ascii="仿宋_GB2312" w:hAnsi="仿宋_GB2312" w:eastAsia="仿宋_GB2312" w:cs="仿宋_GB2312"/>
          <w:kern w:val="0"/>
          <w:sz w:val="32"/>
          <w:szCs w:val="32"/>
        </w:rPr>
        <w:t>科创板</w:t>
      </w:r>
      <w:r>
        <w:rPr>
          <w:rFonts w:hint="eastAsia" w:ascii="仿宋_GB2312" w:hAnsi="仿宋_GB2312" w:eastAsia="仿宋_GB2312"/>
          <w:sz w:val="32"/>
          <w:szCs w:val="32"/>
        </w:rPr>
        <w:t>上市规则》规定的撤销退市风险警示条件，否则股票将被终止上市。</w:t>
      </w:r>
    </w:p>
    <w:p>
      <w:pPr>
        <w:spacing w:line="600" w:lineRule="exact"/>
        <w:ind w:firstLine="640" w:firstLineChars="200"/>
        <w:rPr>
          <w:rFonts w:ascii="仿宋_GB2312" w:hAnsi="仿宋_GB2312" w:eastAsia="仿宋_GB2312" w:cs="Times New Roman"/>
          <w:b/>
          <w:sz w:val="32"/>
          <w:szCs w:val="32"/>
        </w:rPr>
      </w:pPr>
      <w:r>
        <w:rPr>
          <w:rFonts w:hint="eastAsia" w:ascii="仿宋_GB2312" w:hAnsi="仿宋_GB2312" w:eastAsia="仿宋_GB2312" w:cs="Times New Roman"/>
          <w:b/>
          <w:sz w:val="32"/>
          <w:szCs w:val="32"/>
        </w:rPr>
        <w:t>（四）关于其他风险警示制度</w:t>
      </w:r>
    </w:p>
    <w:p>
      <w:pPr>
        <w:widowControl/>
        <w:numPr>
          <w:ilvl w:val="255"/>
          <w:numId w:val="0"/>
        </w:numPr>
        <w:spacing w:line="600" w:lineRule="exact"/>
        <w:ind w:firstLine="640" w:firstLineChars="200"/>
        <w:rPr>
          <w:rFonts w:ascii="仿宋_GB2312" w:hAnsi="仿宋_GB2312" w:eastAsia="仿宋_GB2312"/>
          <w:sz w:val="32"/>
          <w:szCs w:val="32"/>
        </w:rPr>
      </w:pPr>
      <w:r>
        <w:rPr>
          <w:rFonts w:hint="eastAsia" w:ascii="仿宋_GB2312" w:hAnsi="仿宋_GB2312" w:eastAsia="仿宋_GB2312"/>
          <w:b/>
          <w:sz w:val="32"/>
          <w:szCs w:val="32"/>
        </w:rPr>
        <w:t>1.关于占用担保、公司经营治理、财务造假指标。</w:t>
      </w:r>
      <w:r>
        <w:rPr>
          <w:rFonts w:hint="eastAsia" w:ascii="仿宋_GB2312" w:hAnsi="仿宋_GB2312" w:eastAsia="仿宋_GB2312" w:cs="Times New Roman"/>
          <w:sz w:val="32"/>
          <w:szCs w:val="32"/>
        </w:rPr>
        <w:t>《科创板上市规则》第</w:t>
      </w:r>
      <w:r>
        <w:rPr>
          <w:rFonts w:ascii="仿宋_GB2312" w:hAnsi="仿宋_GB2312" w:eastAsia="仿宋_GB2312" w:cs="Times New Roman"/>
          <w:sz w:val="32"/>
          <w:szCs w:val="32"/>
        </w:rPr>
        <w:t>1</w:t>
      </w:r>
      <w:r>
        <w:rPr>
          <w:rFonts w:hint="eastAsia" w:ascii="仿宋_GB2312" w:hAnsi="仿宋_GB2312" w:eastAsia="仿宋_GB2312" w:cs="Times New Roman"/>
          <w:sz w:val="32"/>
          <w:szCs w:val="32"/>
        </w:rPr>
        <w:t>2</w:t>
      </w:r>
      <w:r>
        <w:rPr>
          <w:rFonts w:ascii="仿宋_GB2312" w:hAnsi="仿宋_GB2312" w:eastAsia="仿宋_GB2312" w:cs="Times New Roman"/>
          <w:sz w:val="32"/>
          <w:szCs w:val="32"/>
        </w:rPr>
        <w:t>.9.1条第一款第（一）项、第（二）项、第（四）项、第（五）项、第（七）项规定的其他风险警示</w:t>
      </w:r>
      <w:r>
        <w:rPr>
          <w:rFonts w:hint="eastAsia" w:ascii="仿宋_GB2312" w:hAnsi="仿宋_GB2312" w:eastAsia="仿宋_GB2312" w:cs="Times New Roman"/>
          <w:sz w:val="32"/>
          <w:szCs w:val="32"/>
        </w:rPr>
        <w:t>情形</w:t>
      </w:r>
      <w:r>
        <w:rPr>
          <w:rFonts w:ascii="仿宋_GB2312" w:hAnsi="仿宋_GB2312" w:eastAsia="仿宋_GB2312" w:cs="Times New Roman"/>
          <w:sz w:val="32"/>
          <w:szCs w:val="32"/>
        </w:rPr>
        <w:t>，</w:t>
      </w:r>
      <w:r>
        <w:rPr>
          <w:rFonts w:hint="eastAsia" w:ascii="仿宋_GB2312" w:hAnsi="仿宋_GB2312" w:eastAsia="仿宋_GB2312"/>
          <w:sz w:val="32"/>
          <w:szCs w:val="32"/>
        </w:rPr>
        <w:t>自《</w:t>
      </w:r>
      <w:r>
        <w:rPr>
          <w:rFonts w:hint="eastAsia" w:ascii="仿宋_GB2312" w:hAnsi="仿宋_GB2312" w:eastAsia="仿宋_GB2312" w:cs="仿宋_GB2312"/>
          <w:kern w:val="0"/>
          <w:sz w:val="32"/>
          <w:szCs w:val="32"/>
        </w:rPr>
        <w:t>科创板</w:t>
      </w:r>
      <w:r>
        <w:rPr>
          <w:rFonts w:hint="eastAsia" w:ascii="仿宋_GB2312" w:hAnsi="仿宋_GB2312" w:eastAsia="仿宋_GB2312"/>
          <w:sz w:val="32"/>
          <w:szCs w:val="32"/>
        </w:rPr>
        <w:t>上市规则》发布实施之日起6个月后施行（根据</w:t>
      </w:r>
      <w:r>
        <w:rPr>
          <w:rFonts w:ascii="仿宋_GB2312" w:hAnsi="仿宋_GB2312" w:eastAsia="仿宋_GB2312"/>
          <w:sz w:val="32"/>
          <w:szCs w:val="32"/>
        </w:rPr>
        <w:t>规则在公司股票简称前</w:t>
      </w:r>
      <w:r>
        <w:rPr>
          <w:rFonts w:hint="eastAsia" w:ascii="仿宋_GB2312" w:hAnsi="仿宋_GB2312" w:eastAsia="仿宋_GB2312"/>
          <w:sz w:val="32"/>
          <w:szCs w:val="32"/>
        </w:rPr>
        <w:t>冠</w:t>
      </w:r>
      <w:r>
        <w:rPr>
          <w:rFonts w:ascii="仿宋_GB2312" w:hAnsi="仿宋_GB2312" w:eastAsia="仿宋_GB2312"/>
          <w:sz w:val="32"/>
          <w:szCs w:val="32"/>
        </w:rPr>
        <w:t>以“ST”</w:t>
      </w:r>
      <w:r>
        <w:rPr>
          <w:rFonts w:hint="eastAsia" w:ascii="仿宋_GB2312" w:hAnsi="仿宋_GB2312" w:eastAsia="仿宋_GB2312"/>
          <w:sz w:val="32"/>
          <w:szCs w:val="32"/>
        </w:rPr>
        <w:t>字样）。《科创板上市规则》发布后收到行政处罚事先告知书或行政处罚决定书的公司，适用《科创板上市规则》第</w:t>
      </w:r>
      <w:r>
        <w:rPr>
          <w:rFonts w:ascii="仿宋_GB2312" w:hAnsi="仿宋_GB2312" w:eastAsia="仿宋_GB2312" w:cs="Times New Roman"/>
          <w:sz w:val="32"/>
          <w:szCs w:val="32"/>
        </w:rPr>
        <w:t>1</w:t>
      </w:r>
      <w:r>
        <w:rPr>
          <w:rFonts w:hint="eastAsia" w:ascii="仿宋_GB2312" w:hAnsi="仿宋_GB2312" w:eastAsia="仿宋_GB2312" w:cs="Times New Roman"/>
          <w:sz w:val="32"/>
          <w:szCs w:val="32"/>
        </w:rPr>
        <w:t>2</w:t>
      </w:r>
      <w:r>
        <w:rPr>
          <w:rFonts w:ascii="仿宋_GB2312" w:hAnsi="仿宋_GB2312" w:eastAsia="仿宋_GB2312" w:cs="Times New Roman"/>
          <w:sz w:val="32"/>
          <w:szCs w:val="32"/>
        </w:rPr>
        <w:t>.9.1</w:t>
      </w:r>
      <w:r>
        <w:rPr>
          <w:rFonts w:hint="eastAsia" w:ascii="仿宋_GB2312" w:hAnsi="仿宋_GB2312" w:eastAsia="仿宋_GB2312"/>
          <w:sz w:val="32"/>
          <w:szCs w:val="32"/>
        </w:rPr>
        <w:t>条第（七）项情形，待满足《科创板上市规则》规定的该项其他风险警示撤销条件后可向本所申请撤销。</w:t>
      </w:r>
    </w:p>
    <w:p>
      <w:pPr>
        <w:widowControl/>
        <w:numPr>
          <w:ilvl w:val="255"/>
          <w:numId w:val="0"/>
        </w:numPr>
        <w:spacing w:line="600" w:lineRule="exact"/>
        <w:ind w:firstLine="640" w:firstLineChars="200"/>
        <w:rPr>
          <w:rFonts w:ascii="仿宋_GB2312" w:hAnsi="仿宋_GB2312" w:eastAsia="仿宋_GB2312"/>
          <w:b/>
          <w:sz w:val="32"/>
          <w:szCs w:val="32"/>
        </w:rPr>
      </w:pPr>
      <w:r>
        <w:rPr>
          <w:rFonts w:hint="eastAsia" w:ascii="仿宋_GB2312" w:hAnsi="仿宋_GB2312" w:eastAsia="仿宋_GB2312" w:cs="仿宋_GB2312"/>
          <w:color w:val="000000" w:themeColor="text1"/>
          <w:kern w:val="0"/>
          <w:sz w:val="32"/>
          <w:szCs w:val="32"/>
          <w14:textFill>
            <w14:solidFill>
              <w14:schemeClr w14:val="tx1"/>
            </w14:solidFill>
          </w14:textFill>
        </w:rPr>
        <w:t>在</w:t>
      </w:r>
      <w:r>
        <w:rPr>
          <w:rFonts w:hint="eastAsia" w:ascii="仿宋_GB2312" w:hAnsi="仿宋_GB2312" w:eastAsia="仿宋_GB2312" w:cs="Times New Roman"/>
          <w:sz w:val="32"/>
          <w:szCs w:val="32"/>
        </w:rPr>
        <w:t>前述</w:t>
      </w:r>
      <w:r>
        <w:rPr>
          <w:rFonts w:ascii="仿宋_GB2312" w:hAnsi="仿宋_GB2312" w:eastAsia="仿宋_GB2312"/>
          <w:sz w:val="32"/>
          <w:szCs w:val="32"/>
        </w:rPr>
        <w:t>其他风险警示情形</w:t>
      </w:r>
      <w:r>
        <w:rPr>
          <w:rFonts w:hint="eastAsia" w:ascii="仿宋_GB2312" w:hAnsi="仿宋_GB2312" w:eastAsia="仿宋_GB2312"/>
          <w:sz w:val="32"/>
          <w:szCs w:val="32"/>
        </w:rPr>
        <w:t>施行</w:t>
      </w:r>
      <w:r>
        <w:rPr>
          <w:rFonts w:ascii="仿宋_GB2312" w:hAnsi="仿宋_GB2312" w:eastAsia="仿宋_GB2312"/>
          <w:sz w:val="32"/>
          <w:szCs w:val="32"/>
        </w:rPr>
        <w:t>前的</w:t>
      </w:r>
      <w:r>
        <w:rPr>
          <w:rFonts w:hint="eastAsia" w:ascii="仿宋_GB2312" w:hAnsi="仿宋_GB2312" w:eastAsia="仿宋_GB2312"/>
          <w:sz w:val="32"/>
          <w:szCs w:val="32"/>
        </w:rPr>
        <w:t>6个月</w:t>
      </w:r>
      <w:r>
        <w:rPr>
          <w:rFonts w:ascii="仿宋_GB2312" w:hAnsi="仿宋_GB2312" w:eastAsia="仿宋_GB2312"/>
          <w:sz w:val="32"/>
          <w:szCs w:val="32"/>
        </w:rPr>
        <w:t>过渡期内，上市公司已</w:t>
      </w:r>
      <w:r>
        <w:rPr>
          <w:rFonts w:hint="eastAsia" w:ascii="仿宋_GB2312" w:hAnsi="仿宋_GB2312" w:eastAsia="仿宋_GB2312"/>
          <w:sz w:val="32"/>
          <w:szCs w:val="32"/>
        </w:rPr>
        <w:t>实际触及任一情形的，应当立即披露股票可能被实施其他风险警示的风险提示公告。其后公司应当至少每月披露一次风险提示公告，直至相应情形消除或者公司股票被本所实施其他风险警示。</w:t>
      </w:r>
    </w:p>
    <w:p>
      <w:pPr>
        <w:spacing w:line="600" w:lineRule="exact"/>
        <w:ind w:firstLine="640" w:firstLineChars="200"/>
        <w:rPr>
          <w:rFonts w:ascii="仿宋_GB2312" w:hAnsi="仿宋_GB2312" w:eastAsia="仿宋_GB2312"/>
          <w:b/>
          <w:sz w:val="32"/>
          <w:szCs w:val="32"/>
        </w:rPr>
      </w:pPr>
      <w:r>
        <w:rPr>
          <w:rFonts w:hint="eastAsia" w:ascii="仿宋_GB2312" w:hAnsi="仿宋_GB2312" w:eastAsia="仿宋_GB2312"/>
          <w:b/>
          <w:sz w:val="32"/>
          <w:szCs w:val="32"/>
        </w:rPr>
        <w:t>2.关于内控非标意见和持续经营能力指标。</w:t>
      </w:r>
      <w:r>
        <w:rPr>
          <w:rFonts w:ascii="仿宋_GB2312" w:hAnsi="仿宋_GB2312" w:eastAsia="仿宋_GB2312" w:cs="Times New Roman"/>
          <w:sz w:val="32"/>
          <w:szCs w:val="32"/>
        </w:rPr>
        <w:t>在适用</w:t>
      </w:r>
      <w:r>
        <w:rPr>
          <w:rFonts w:hint="eastAsia" w:ascii="仿宋_GB2312" w:hAnsi="仿宋_GB2312" w:eastAsia="仿宋_GB2312" w:cs="Times New Roman"/>
          <w:sz w:val="32"/>
          <w:szCs w:val="32"/>
        </w:rPr>
        <w:t>《科创板上市规则》第</w:t>
      </w:r>
      <w:r>
        <w:rPr>
          <w:rFonts w:ascii="仿宋_GB2312" w:hAnsi="仿宋_GB2312" w:eastAsia="仿宋_GB2312" w:cs="Times New Roman"/>
          <w:sz w:val="32"/>
          <w:szCs w:val="32"/>
        </w:rPr>
        <w:t>1</w:t>
      </w:r>
      <w:r>
        <w:rPr>
          <w:rFonts w:hint="eastAsia" w:ascii="仿宋_GB2312" w:hAnsi="仿宋_GB2312" w:eastAsia="仿宋_GB2312" w:cs="Times New Roman"/>
          <w:sz w:val="32"/>
          <w:szCs w:val="32"/>
        </w:rPr>
        <w:t>2</w:t>
      </w:r>
      <w:r>
        <w:rPr>
          <w:rFonts w:ascii="仿宋_GB2312" w:hAnsi="仿宋_GB2312" w:eastAsia="仿宋_GB2312" w:cs="Times New Roman"/>
          <w:sz w:val="32"/>
          <w:szCs w:val="32"/>
        </w:rPr>
        <w:t>.9.1条第一款第</w:t>
      </w:r>
      <w:r>
        <w:rPr>
          <w:rFonts w:hint="eastAsia" w:ascii="仿宋_GB2312" w:hAnsi="仿宋_GB2312" w:eastAsia="仿宋_GB2312" w:cs="Times New Roman"/>
          <w:sz w:val="32"/>
          <w:szCs w:val="32"/>
        </w:rPr>
        <w:t>（三）项、第（六）项规定的其他风险警示情形时，以2024年度作为“最近一个会计年度”和“最近连续3个会计年度”的起算年度。</w:t>
      </w:r>
    </w:p>
    <w:p>
      <w:pPr>
        <w:widowControl/>
        <w:numPr>
          <w:ilvl w:val="255"/>
          <w:numId w:val="0"/>
        </w:numPr>
        <w:spacing w:line="600"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b/>
          <w:sz w:val="32"/>
          <w:szCs w:val="32"/>
        </w:rPr>
        <w:t>3.关于现金分红指标。</w:t>
      </w:r>
      <w:r>
        <w:rPr>
          <w:rFonts w:hint="eastAsia" w:ascii="仿宋_GB2312" w:hAnsi="仿宋_GB2312" w:eastAsia="仿宋_GB2312" w:cs="Times New Roman"/>
          <w:sz w:val="32"/>
          <w:szCs w:val="32"/>
        </w:rPr>
        <w:t>《科创板上市规则》第</w:t>
      </w:r>
      <w:r>
        <w:rPr>
          <w:rFonts w:ascii="仿宋_GB2312" w:hAnsi="仿宋_GB2312" w:eastAsia="仿宋_GB2312" w:cs="Times New Roman"/>
          <w:sz w:val="32"/>
          <w:szCs w:val="32"/>
        </w:rPr>
        <w:t>1</w:t>
      </w:r>
      <w:r>
        <w:rPr>
          <w:rFonts w:hint="eastAsia" w:ascii="仿宋_GB2312" w:hAnsi="仿宋_GB2312" w:eastAsia="仿宋_GB2312" w:cs="Times New Roman"/>
          <w:sz w:val="32"/>
          <w:szCs w:val="32"/>
        </w:rPr>
        <w:t>2</w:t>
      </w:r>
      <w:r>
        <w:rPr>
          <w:rFonts w:ascii="仿宋_GB2312" w:hAnsi="仿宋_GB2312" w:eastAsia="仿宋_GB2312" w:cs="Times New Roman"/>
          <w:sz w:val="32"/>
          <w:szCs w:val="32"/>
        </w:rPr>
        <w:t>.9.1条第一款</w:t>
      </w:r>
      <w:r>
        <w:rPr>
          <w:rFonts w:hint="eastAsia" w:ascii="仿宋_GB2312" w:hAnsi="仿宋_GB2312" w:eastAsia="仿宋_GB2312" w:cs="仿宋_GB2312"/>
          <w:color w:val="000000" w:themeColor="text1"/>
          <w:kern w:val="0"/>
          <w:sz w:val="32"/>
          <w:szCs w:val="32"/>
          <w14:textFill>
            <w14:solidFill>
              <w14:schemeClr w14:val="tx1"/>
            </w14:solidFill>
          </w14:textFill>
        </w:rPr>
        <w:t>第（八）项规定的其他风险警示指标，自2025年1月1日起正式实施，其中首次“最近三个会计年度”指2022年度至2024年度。</w:t>
      </w:r>
    </w:p>
    <w:p>
      <w:pPr>
        <w:spacing w:line="600" w:lineRule="exact"/>
        <w:ind w:firstLine="640" w:firstLineChars="200"/>
        <w:rPr>
          <w:rFonts w:ascii="仿宋_GB2312" w:hAnsi="仿宋_GB2312"/>
        </w:rPr>
      </w:pPr>
      <w:r>
        <w:rPr>
          <w:rFonts w:hint="eastAsia" w:ascii="仿宋_GB2312" w:hAnsi="仿宋_GB2312" w:eastAsia="仿宋_GB2312"/>
          <w:sz w:val="32"/>
          <w:szCs w:val="32"/>
        </w:rPr>
        <w:t>特此说明。</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00500000000000000"/>
    <w:charset w:val="86"/>
    <w:family w:val="modern"/>
    <w:pitch w:val="default"/>
    <w:sig w:usb0="A00002BF" w:usb1="5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4"/>
        <w:szCs w:val="24"/>
      </w:rPr>
      <w:id w:val="1149019908"/>
    </w:sdtPr>
    <w:sdtEndPr>
      <w:rPr>
        <w:rFonts w:ascii="Times New Roman" w:hAnsi="Times New Roman" w:cs="Times New Roman"/>
        <w:sz w:val="24"/>
        <w:szCs w:val="24"/>
      </w:rPr>
    </w:sdtEndPr>
    <w:sdtContent>
      <w:p>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w:t>
        </w:r>
        <w:r>
          <w:rPr>
            <w:rFonts w:ascii="Times New Roman" w:hAnsi="Times New Roman" w:cs="Times New Roman"/>
            <w:sz w:val="24"/>
            <w:szCs w:val="24"/>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4FF1"/>
    <w:rsid w:val="00000145"/>
    <w:rsid w:val="00000C50"/>
    <w:rsid w:val="00036B48"/>
    <w:rsid w:val="000545DC"/>
    <w:rsid w:val="000711A2"/>
    <w:rsid w:val="000806FB"/>
    <w:rsid w:val="0009252C"/>
    <w:rsid w:val="000C001A"/>
    <w:rsid w:val="000C124A"/>
    <w:rsid w:val="000C24A7"/>
    <w:rsid w:val="000C2914"/>
    <w:rsid w:val="000C45FB"/>
    <w:rsid w:val="000D7DD5"/>
    <w:rsid w:val="000E1FF8"/>
    <w:rsid w:val="00100450"/>
    <w:rsid w:val="001017E4"/>
    <w:rsid w:val="00110069"/>
    <w:rsid w:val="00124857"/>
    <w:rsid w:val="001534C4"/>
    <w:rsid w:val="001679AB"/>
    <w:rsid w:val="001A0195"/>
    <w:rsid w:val="001A4CCA"/>
    <w:rsid w:val="001D77CA"/>
    <w:rsid w:val="001F2382"/>
    <w:rsid w:val="001F6C8A"/>
    <w:rsid w:val="0020738B"/>
    <w:rsid w:val="002246F3"/>
    <w:rsid w:val="00227C0B"/>
    <w:rsid w:val="002606B1"/>
    <w:rsid w:val="00270DF8"/>
    <w:rsid w:val="002A1EC3"/>
    <w:rsid w:val="002B1256"/>
    <w:rsid w:val="002C31DF"/>
    <w:rsid w:val="002D7E3A"/>
    <w:rsid w:val="002F1311"/>
    <w:rsid w:val="002F2B7C"/>
    <w:rsid w:val="00301BDF"/>
    <w:rsid w:val="00341260"/>
    <w:rsid w:val="00352FF5"/>
    <w:rsid w:val="003644CD"/>
    <w:rsid w:val="00371701"/>
    <w:rsid w:val="00371D3A"/>
    <w:rsid w:val="00375011"/>
    <w:rsid w:val="003878F6"/>
    <w:rsid w:val="00396525"/>
    <w:rsid w:val="003D1098"/>
    <w:rsid w:val="003D6CF5"/>
    <w:rsid w:val="003E1C4F"/>
    <w:rsid w:val="003E3049"/>
    <w:rsid w:val="003F355A"/>
    <w:rsid w:val="00400C97"/>
    <w:rsid w:val="00415B24"/>
    <w:rsid w:val="004160A3"/>
    <w:rsid w:val="00425390"/>
    <w:rsid w:val="00454A82"/>
    <w:rsid w:val="00471E98"/>
    <w:rsid w:val="004B60CE"/>
    <w:rsid w:val="004C3BE5"/>
    <w:rsid w:val="004D3512"/>
    <w:rsid w:val="004D4466"/>
    <w:rsid w:val="004F06B0"/>
    <w:rsid w:val="005179CF"/>
    <w:rsid w:val="00525503"/>
    <w:rsid w:val="00547525"/>
    <w:rsid w:val="00552DC9"/>
    <w:rsid w:val="005616B8"/>
    <w:rsid w:val="00572668"/>
    <w:rsid w:val="0058250B"/>
    <w:rsid w:val="0059571E"/>
    <w:rsid w:val="005D5AC7"/>
    <w:rsid w:val="006318E7"/>
    <w:rsid w:val="00652D7F"/>
    <w:rsid w:val="0066154D"/>
    <w:rsid w:val="00680EA0"/>
    <w:rsid w:val="00687DAA"/>
    <w:rsid w:val="00694342"/>
    <w:rsid w:val="00695A05"/>
    <w:rsid w:val="006A29BF"/>
    <w:rsid w:val="006A7B22"/>
    <w:rsid w:val="006B1527"/>
    <w:rsid w:val="006D1D57"/>
    <w:rsid w:val="007011E7"/>
    <w:rsid w:val="007075CD"/>
    <w:rsid w:val="00717009"/>
    <w:rsid w:val="00750A5F"/>
    <w:rsid w:val="0076779D"/>
    <w:rsid w:val="00783A9E"/>
    <w:rsid w:val="007D0F16"/>
    <w:rsid w:val="007E4E51"/>
    <w:rsid w:val="007E6501"/>
    <w:rsid w:val="0081539B"/>
    <w:rsid w:val="00834288"/>
    <w:rsid w:val="00835565"/>
    <w:rsid w:val="00846499"/>
    <w:rsid w:val="00862F6F"/>
    <w:rsid w:val="0087530C"/>
    <w:rsid w:val="008A3953"/>
    <w:rsid w:val="008B0A2C"/>
    <w:rsid w:val="008D425D"/>
    <w:rsid w:val="008E167F"/>
    <w:rsid w:val="008E2AF2"/>
    <w:rsid w:val="008E5E33"/>
    <w:rsid w:val="0092316C"/>
    <w:rsid w:val="00926EF6"/>
    <w:rsid w:val="00937404"/>
    <w:rsid w:val="009439AE"/>
    <w:rsid w:val="00954247"/>
    <w:rsid w:val="009600F7"/>
    <w:rsid w:val="009633D9"/>
    <w:rsid w:val="00967484"/>
    <w:rsid w:val="00973E9D"/>
    <w:rsid w:val="009772C9"/>
    <w:rsid w:val="00977D7E"/>
    <w:rsid w:val="00992E49"/>
    <w:rsid w:val="009B2366"/>
    <w:rsid w:val="00A01DEF"/>
    <w:rsid w:val="00A109AB"/>
    <w:rsid w:val="00A2468F"/>
    <w:rsid w:val="00A3656B"/>
    <w:rsid w:val="00A52333"/>
    <w:rsid w:val="00A56D05"/>
    <w:rsid w:val="00A601A6"/>
    <w:rsid w:val="00A736D7"/>
    <w:rsid w:val="00A8024C"/>
    <w:rsid w:val="00A84680"/>
    <w:rsid w:val="00A868B2"/>
    <w:rsid w:val="00AC00D1"/>
    <w:rsid w:val="00AD5FAD"/>
    <w:rsid w:val="00B00874"/>
    <w:rsid w:val="00B00C11"/>
    <w:rsid w:val="00B1328F"/>
    <w:rsid w:val="00B13D9B"/>
    <w:rsid w:val="00B14FF1"/>
    <w:rsid w:val="00B36375"/>
    <w:rsid w:val="00B712F4"/>
    <w:rsid w:val="00B77B9C"/>
    <w:rsid w:val="00C07CD7"/>
    <w:rsid w:val="00C11894"/>
    <w:rsid w:val="00C2285A"/>
    <w:rsid w:val="00C23874"/>
    <w:rsid w:val="00C2795A"/>
    <w:rsid w:val="00C32F13"/>
    <w:rsid w:val="00C679A2"/>
    <w:rsid w:val="00C75A06"/>
    <w:rsid w:val="00C852CB"/>
    <w:rsid w:val="00C869F7"/>
    <w:rsid w:val="00CB34F3"/>
    <w:rsid w:val="00CE23B7"/>
    <w:rsid w:val="00CE5CD5"/>
    <w:rsid w:val="00D042C7"/>
    <w:rsid w:val="00D11C11"/>
    <w:rsid w:val="00D21005"/>
    <w:rsid w:val="00D2744F"/>
    <w:rsid w:val="00D35BA0"/>
    <w:rsid w:val="00D41BB7"/>
    <w:rsid w:val="00D578D2"/>
    <w:rsid w:val="00D624B8"/>
    <w:rsid w:val="00D73F33"/>
    <w:rsid w:val="00D74EF4"/>
    <w:rsid w:val="00D8560A"/>
    <w:rsid w:val="00DE731D"/>
    <w:rsid w:val="00E0138F"/>
    <w:rsid w:val="00E15872"/>
    <w:rsid w:val="00E3065C"/>
    <w:rsid w:val="00E614E9"/>
    <w:rsid w:val="00E91333"/>
    <w:rsid w:val="00E94009"/>
    <w:rsid w:val="00EA0A1E"/>
    <w:rsid w:val="00EB1C80"/>
    <w:rsid w:val="00EB25D0"/>
    <w:rsid w:val="00EB542D"/>
    <w:rsid w:val="00EB5D6D"/>
    <w:rsid w:val="00EC104F"/>
    <w:rsid w:val="00EC3FA7"/>
    <w:rsid w:val="00EE4346"/>
    <w:rsid w:val="00EF066E"/>
    <w:rsid w:val="00EF4882"/>
    <w:rsid w:val="00F2117D"/>
    <w:rsid w:val="00F24A61"/>
    <w:rsid w:val="00F2645A"/>
    <w:rsid w:val="00F451C5"/>
    <w:rsid w:val="00F81602"/>
    <w:rsid w:val="00F86731"/>
    <w:rsid w:val="00F9040C"/>
    <w:rsid w:val="00FC3164"/>
    <w:rsid w:val="00FC52F3"/>
    <w:rsid w:val="00FC64B9"/>
    <w:rsid w:val="00FE11EB"/>
    <w:rsid w:val="00FE6385"/>
    <w:rsid w:val="00FF78A7"/>
    <w:rsid w:val="044652EC"/>
    <w:rsid w:val="04626D45"/>
    <w:rsid w:val="05415B0F"/>
    <w:rsid w:val="055F7E4B"/>
    <w:rsid w:val="12670A0F"/>
    <w:rsid w:val="1DD32473"/>
    <w:rsid w:val="21A45A20"/>
    <w:rsid w:val="22CC54B5"/>
    <w:rsid w:val="29321145"/>
    <w:rsid w:val="2D3679B8"/>
    <w:rsid w:val="2EEF9B7F"/>
    <w:rsid w:val="35B19642"/>
    <w:rsid w:val="3CB809DA"/>
    <w:rsid w:val="3D7EF93C"/>
    <w:rsid w:val="3FC44271"/>
    <w:rsid w:val="3FEF38E0"/>
    <w:rsid w:val="426868B5"/>
    <w:rsid w:val="44BB4AA5"/>
    <w:rsid w:val="4E11621B"/>
    <w:rsid w:val="539E63C1"/>
    <w:rsid w:val="56F35105"/>
    <w:rsid w:val="5D0467F9"/>
    <w:rsid w:val="5DFF90AA"/>
    <w:rsid w:val="60785576"/>
    <w:rsid w:val="65DF9CB2"/>
    <w:rsid w:val="68CF1374"/>
    <w:rsid w:val="6AFAF95B"/>
    <w:rsid w:val="6BDB7B88"/>
    <w:rsid w:val="6EFE9B7A"/>
    <w:rsid w:val="6F950B1D"/>
    <w:rsid w:val="6FD5364A"/>
    <w:rsid w:val="75FB97F9"/>
    <w:rsid w:val="76EF613F"/>
    <w:rsid w:val="7A337294"/>
    <w:rsid w:val="7A9C41D8"/>
    <w:rsid w:val="7B2FB13E"/>
    <w:rsid w:val="7D3354C1"/>
    <w:rsid w:val="7DAF11D2"/>
    <w:rsid w:val="7EFF7E58"/>
    <w:rsid w:val="7F4079CE"/>
    <w:rsid w:val="7F73EB36"/>
    <w:rsid w:val="7FEF826E"/>
    <w:rsid w:val="7FFB2131"/>
    <w:rsid w:val="8EF7D244"/>
    <w:rsid w:val="95ED0CAD"/>
    <w:rsid w:val="ABFD318A"/>
    <w:rsid w:val="AFF8AEC1"/>
    <w:rsid w:val="B6DF2D6A"/>
    <w:rsid w:val="BD755E03"/>
    <w:rsid w:val="BFEF9E3C"/>
    <w:rsid w:val="C3FF7AE8"/>
    <w:rsid w:val="CB4D23D4"/>
    <w:rsid w:val="CFBECFE2"/>
    <w:rsid w:val="DBF7F80B"/>
    <w:rsid w:val="DDFB8B5B"/>
    <w:rsid w:val="DFFF5784"/>
    <w:rsid w:val="F5F96577"/>
    <w:rsid w:val="F6FCD25A"/>
    <w:rsid w:val="FFEDF3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5"/>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页脚 字符"/>
    <w:basedOn w:val="9"/>
    <w:link w:val="5"/>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页眉 字符"/>
    <w:basedOn w:val="9"/>
    <w:link w:val="6"/>
    <w:qFormat/>
    <w:uiPriority w:val="99"/>
    <w:rPr>
      <w:kern w:val="2"/>
      <w:sz w:val="18"/>
      <w:szCs w:val="18"/>
    </w:rPr>
  </w:style>
  <w:style w:type="character" w:customStyle="1" w:styleId="14">
    <w:name w:val="批注文字 字符"/>
    <w:basedOn w:val="9"/>
    <w:link w:val="3"/>
    <w:semiHidden/>
    <w:qFormat/>
    <w:uiPriority w:val="99"/>
    <w:rPr>
      <w:kern w:val="2"/>
      <w:sz w:val="21"/>
      <w:szCs w:val="22"/>
    </w:rPr>
  </w:style>
  <w:style w:type="character" w:customStyle="1" w:styleId="15">
    <w:name w:val="批注主题 字符"/>
    <w:basedOn w:val="14"/>
    <w:link w:val="7"/>
    <w:semiHidden/>
    <w:qFormat/>
    <w:uiPriority w:val="99"/>
    <w:rPr>
      <w:b/>
      <w:bCs/>
      <w:kern w:val="2"/>
      <w:sz w:val="21"/>
      <w:szCs w:val="22"/>
    </w:rPr>
  </w:style>
  <w:style w:type="character" w:customStyle="1" w:styleId="16">
    <w:name w:val="批注框文本 字符"/>
    <w:basedOn w:val="9"/>
    <w:link w:val="4"/>
    <w:semiHidden/>
    <w:qFormat/>
    <w:uiPriority w:val="99"/>
    <w:rPr>
      <w:kern w:val="2"/>
      <w:sz w:val="18"/>
      <w:szCs w:val="18"/>
    </w:rPr>
  </w:style>
  <w:style w:type="paragraph" w:customStyle="1" w:styleId="17">
    <w:name w:val="_Style 3"/>
    <w:basedOn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上海证券交易所</Company>
  <Pages>9</Pages>
  <Words>704</Words>
  <Characters>4015</Characters>
  <Lines>33</Lines>
  <Paragraphs>9</Paragraphs>
  <TotalTime>0</TotalTime>
  <ScaleCrop>false</ScaleCrop>
  <LinksUpToDate>false</LinksUpToDate>
  <CharactersWithSpaces>4710</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2024-03-28T13:55:00Z</dcterms:created>
  <dc:creator>sse</dc:creator>
  <cp:lastModifiedBy>gcxie</cp:lastModifiedBy>
  <cp:lastPrinted>2024-03-28T20:51:00Z</cp:lastPrinted>
  <dcterms:modified xsi:type="dcterms:W3CDTF">2024-04-11T15:28:32Z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6A53008EC962CC752BAE0C668E9FF303</vt:lpwstr>
  </property>
</Properties>
</file>