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黑体" w:hAnsi="黑体" w:eastAsia="黑体" w:cs="Times New Roman"/>
          <w:sz w:val="42"/>
          <w:szCs w:val="42"/>
        </w:rPr>
      </w:pPr>
      <w:r>
        <w:rPr>
          <w:rFonts w:hint="eastAsia" w:ascii="黑体" w:hAnsi="黑体" w:eastAsia="黑体" w:cs="Times New Roman"/>
          <w:sz w:val="42"/>
          <w:szCs w:val="42"/>
        </w:rPr>
        <w:t>起草说明</w:t>
      </w:r>
    </w:p>
    <w:p/>
    <w:p>
      <w:pPr>
        <w:spacing w:line="560" w:lineRule="exact"/>
        <w:ind w:firstLine="600" w:firstLineChars="200"/>
        <w:rPr>
          <w:rFonts w:ascii="仿宋_GB2312" w:hAnsi="Times New Roman" w:eastAsia="仿宋_GB2312"/>
          <w:sz w:val="30"/>
          <w:szCs w:val="30"/>
        </w:rPr>
      </w:pPr>
      <w:r>
        <w:rPr>
          <w:rFonts w:hint="eastAsia" w:ascii="仿宋_GB2312" w:hAnsi="Times New Roman" w:eastAsia="仿宋_GB2312"/>
          <w:sz w:val="30"/>
          <w:szCs w:val="30"/>
        </w:rPr>
        <w:t>为落实《国务院关于加强监管防范风险推动资本市场高质量发展的若干意见》，规范上市公司可持续发展信息披露，推动提高上市公司质量，上海证券交易所（以下简称上交所）</w:t>
      </w:r>
      <w:r>
        <w:rPr>
          <w:rStyle w:val="7"/>
          <w:rFonts w:hint="default" w:hAnsi="Times New Roman"/>
        </w:rPr>
        <w:t>根据</w:t>
      </w:r>
      <w:r>
        <w:rPr>
          <w:rFonts w:hint="eastAsia" w:ascii="仿宋_GB2312" w:hAnsi="Times New Roman" w:eastAsia="仿宋_GB2312"/>
          <w:sz w:val="30"/>
          <w:szCs w:val="30"/>
        </w:rPr>
        <w:t>《上海证券交易所上市公司自律监管指引第14号——可持续发展报告（试行）》（以下简称《指引》）等</w:t>
      </w:r>
      <w:r>
        <w:rPr>
          <w:rStyle w:val="7"/>
          <w:rFonts w:hint="default"/>
        </w:rPr>
        <w:t>相关规定，结合市场需求和国内外可持续发展信息披露相关实践，起草了</w:t>
      </w:r>
      <w:r>
        <w:rPr>
          <w:rFonts w:hint="eastAsia" w:ascii="仿宋_GB2312" w:hAnsi="Times New Roman" w:eastAsia="仿宋_GB2312"/>
          <w:sz w:val="30"/>
          <w:szCs w:val="30"/>
        </w:rPr>
        <w:t>《上海证券交易所上市公司自律监管指南第</w:t>
      </w:r>
      <w:r>
        <w:rPr>
          <w:rFonts w:ascii="仿宋_GB2312" w:hAnsi="Times New Roman" w:eastAsia="仿宋_GB2312"/>
          <w:sz w:val="30"/>
          <w:szCs w:val="30"/>
        </w:rPr>
        <w:t>4号——可持续发展报告编制</w:t>
      </w:r>
      <w:r>
        <w:rPr>
          <w:rFonts w:hint="eastAsia" w:ascii="仿宋_GB2312" w:hAnsi="Times New Roman" w:eastAsia="仿宋_GB2312"/>
          <w:sz w:val="30"/>
          <w:szCs w:val="30"/>
        </w:rPr>
        <w:t>（征求意见稿）》和《上海证券交易所科创板上市公司自律监管指南第</w:t>
      </w:r>
      <w:r>
        <w:rPr>
          <w:rFonts w:ascii="仿宋_GB2312" w:hAnsi="Times New Roman" w:eastAsia="仿宋_GB2312"/>
          <w:sz w:val="30"/>
          <w:szCs w:val="30"/>
        </w:rPr>
        <w:t>13号——</w:t>
      </w:r>
      <w:r>
        <w:rPr>
          <w:rFonts w:hint="eastAsia" w:ascii="仿宋_GB2312" w:hAnsi="Times New Roman" w:eastAsia="仿宋_GB2312"/>
          <w:sz w:val="30"/>
          <w:szCs w:val="30"/>
        </w:rPr>
        <w:t>可持续发展报告编制（征求意见稿）》（以下统称《指南》）。现将主要起草情况说明如下。</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一、总体思路</w:t>
      </w:r>
    </w:p>
    <w:p>
      <w:pPr>
        <w:spacing w:line="560" w:lineRule="exact"/>
        <w:ind w:firstLine="600" w:firstLineChars="200"/>
        <w:rPr>
          <w:rFonts w:ascii="仿宋_GB2312" w:hAnsi="Times New Roman" w:eastAsia="仿宋_GB2312"/>
          <w:sz w:val="30"/>
          <w:szCs w:val="30"/>
        </w:rPr>
      </w:pPr>
      <w:r>
        <w:rPr>
          <w:rFonts w:hint="eastAsia" w:ascii="仿宋_GB2312" w:hAnsi="Times New Roman" w:eastAsia="仿宋_GB2312"/>
          <w:sz w:val="30"/>
          <w:szCs w:val="30"/>
        </w:rPr>
        <w:t>《国务院关于加强监管防范风险推动资本市场高质量发展的若干意见》提出，要健全上市公司可持续信息披露制度。上交所前期制定出台《指引》，系统规范了上市公司可持续发展报告相关披露要求。征求意见过程中，部分上市公司和投资者反映，希望上交所结合上市公司实践，提供更加具体的应用指南，帮助上市公司更好理解和落实《指引》相关要求。为此，在中国证监会统一部署下，上交所结合市场诉求，针对可持续发展报告编制过程中的重点难点问题起草了本《指南》。起草过程总体坚持以下思路：</w:t>
      </w:r>
    </w:p>
    <w:p>
      <w:pPr>
        <w:spacing w:line="560" w:lineRule="exact"/>
        <w:ind w:firstLine="602" w:firstLineChars="200"/>
        <w:rPr>
          <w:rFonts w:ascii="仿宋_GB2312" w:hAnsi="Times New Roman" w:eastAsia="仿宋_GB2312"/>
          <w:sz w:val="30"/>
          <w:szCs w:val="30"/>
        </w:rPr>
      </w:pPr>
      <w:r>
        <w:rPr>
          <w:rFonts w:hint="eastAsia" w:ascii="仿宋_GB2312" w:hAnsi="Times New Roman" w:eastAsia="仿宋_GB2312"/>
          <w:b/>
          <w:bCs/>
          <w:sz w:val="30"/>
          <w:szCs w:val="30"/>
        </w:rPr>
        <w:t>一是推动实践先行，增强上市公司可持续发展意识。</w:t>
      </w:r>
      <w:r>
        <w:rPr>
          <w:rFonts w:hint="eastAsia" w:ascii="仿宋_GB2312" w:hAnsi="Times New Roman" w:eastAsia="仿宋_GB2312"/>
          <w:sz w:val="30"/>
          <w:szCs w:val="30"/>
        </w:rPr>
        <w:t>《指南》定位于《指引》的“教科书”和典型实践推荐，内容既包括披露要点提示和示例，也涵盖了重要概念解释、主要实施步骤、相关参考索引等，旨在推动上市公司健全治理、强化管理、提升可持续发展意识，以更好的实践推动更好的披露。</w:t>
      </w:r>
    </w:p>
    <w:p>
      <w:pPr>
        <w:spacing w:line="560" w:lineRule="exact"/>
        <w:ind w:firstLine="602" w:firstLineChars="200"/>
        <w:rPr>
          <w:rFonts w:ascii="仿宋_GB2312" w:hAnsi="Times New Roman" w:eastAsia="仿宋_GB2312"/>
          <w:sz w:val="30"/>
          <w:szCs w:val="30"/>
        </w:rPr>
      </w:pPr>
      <w:r>
        <w:rPr>
          <w:rFonts w:hint="eastAsia" w:ascii="仿宋_GB2312" w:hAnsi="Times New Roman" w:eastAsia="仿宋_GB2312"/>
          <w:b/>
          <w:bCs/>
          <w:sz w:val="30"/>
          <w:szCs w:val="30"/>
        </w:rPr>
        <w:t>二是辅助参考为主，不设置额外的强制披露要求。</w:t>
      </w:r>
      <w:r>
        <w:rPr>
          <w:rFonts w:hint="eastAsia" w:ascii="仿宋_GB2312" w:hAnsi="Times New Roman" w:eastAsia="仿宋_GB2312"/>
          <w:sz w:val="30"/>
          <w:szCs w:val="30"/>
        </w:rPr>
        <w:t>本次起草的《指南》以《指引》为基本框架，在此基础上进一步提示工作流程及报告披露要点，为上市公司编制可持续发展报告提供参考。不在《指引》之外新增额外强制性披露要求，不增加上市公司披露负担。</w:t>
      </w:r>
    </w:p>
    <w:p>
      <w:pPr>
        <w:spacing w:line="560" w:lineRule="exact"/>
        <w:ind w:firstLine="602" w:firstLineChars="200"/>
        <w:rPr>
          <w:rFonts w:ascii="仿宋_GB2312" w:eastAsia="仿宋_GB2312"/>
          <w:b/>
          <w:sz w:val="30"/>
          <w:szCs w:val="30"/>
        </w:rPr>
      </w:pPr>
      <w:r>
        <w:rPr>
          <w:rFonts w:hint="eastAsia" w:ascii="仿宋_GB2312" w:eastAsia="仿宋_GB2312"/>
          <w:b/>
          <w:sz w:val="30"/>
          <w:szCs w:val="30"/>
        </w:rPr>
        <w:t>三是突出重点难点，为上市公司提供必要指导。</w:t>
      </w:r>
      <w:r>
        <w:rPr>
          <w:rFonts w:hint="eastAsia" w:ascii="仿宋_GB2312" w:eastAsia="仿宋_GB2312"/>
          <w:bCs/>
          <w:sz w:val="30"/>
          <w:szCs w:val="30"/>
        </w:rPr>
        <w:t>《指南》针对完善可持续发展治理架构</w:t>
      </w:r>
      <w:r>
        <w:rPr>
          <w:rFonts w:hint="eastAsia" w:ascii="仿宋_GB2312" w:hAnsi="Times New Roman" w:eastAsia="仿宋_GB2312"/>
          <w:sz w:val="30"/>
          <w:szCs w:val="30"/>
        </w:rPr>
        <w:t>和工作流程</w:t>
      </w:r>
      <w:r>
        <w:rPr>
          <w:rFonts w:hint="eastAsia" w:ascii="仿宋_GB2312" w:eastAsia="仿宋_GB2312"/>
          <w:bCs/>
          <w:sz w:val="30"/>
          <w:szCs w:val="30"/>
        </w:rPr>
        <w:t>、</w:t>
      </w:r>
      <w:r>
        <w:rPr>
          <w:rFonts w:hint="eastAsia" w:ascii="仿宋_GB2312" w:hAnsi="Times New Roman" w:eastAsia="仿宋_GB2312"/>
          <w:sz w:val="30"/>
          <w:szCs w:val="30"/>
        </w:rPr>
        <w:t>开展</w:t>
      </w:r>
      <w:r>
        <w:rPr>
          <w:rFonts w:hint="eastAsia" w:ascii="仿宋_GB2312" w:eastAsia="仿宋_GB2312"/>
          <w:bCs/>
          <w:sz w:val="30"/>
          <w:szCs w:val="30"/>
        </w:rPr>
        <w:t>双重重要性评估分析、</w:t>
      </w:r>
      <w:r>
        <w:rPr>
          <w:rFonts w:hint="eastAsia" w:ascii="仿宋_GB2312" w:hAnsi="Times New Roman" w:eastAsia="仿宋_GB2312"/>
          <w:sz w:val="30"/>
          <w:szCs w:val="30"/>
        </w:rPr>
        <w:t>更好适用</w:t>
      </w:r>
      <w:r>
        <w:rPr>
          <w:rFonts w:ascii="仿宋_GB2312" w:hAnsi="Times New Roman" w:eastAsia="仿宋_GB2312"/>
          <w:sz w:val="30"/>
          <w:szCs w:val="30"/>
        </w:rPr>
        <w:t>四要素</w:t>
      </w:r>
      <w:r>
        <w:rPr>
          <w:rFonts w:hint="eastAsia" w:ascii="仿宋_GB2312" w:hAnsi="Times New Roman" w:eastAsia="仿宋_GB2312"/>
          <w:sz w:val="30"/>
          <w:szCs w:val="30"/>
        </w:rPr>
        <w:t>披露框架等</w:t>
      </w:r>
      <w:r>
        <w:rPr>
          <w:rFonts w:hint="eastAsia" w:ascii="仿宋_GB2312" w:eastAsia="仿宋_GB2312"/>
          <w:bCs/>
          <w:sz w:val="30"/>
          <w:szCs w:val="30"/>
        </w:rPr>
        <w:t>重点难点内容</w:t>
      </w:r>
      <w:r>
        <w:rPr>
          <w:rFonts w:hint="eastAsia" w:ascii="仿宋_GB2312" w:hAnsi="Times New Roman" w:eastAsia="仿宋_GB2312"/>
          <w:sz w:val="30"/>
          <w:szCs w:val="30"/>
        </w:rPr>
        <w:t>给予必要的细化指导。</w:t>
      </w:r>
      <w:r>
        <w:rPr>
          <w:rFonts w:hint="eastAsia" w:ascii="仿宋_GB2312" w:eastAsia="仿宋_GB2312"/>
          <w:bCs/>
          <w:sz w:val="30"/>
          <w:szCs w:val="30"/>
        </w:rPr>
        <w:t>相关内容既参考了国内外相关法规、标准和行业规范，也充分考虑了上市公司现阶段实践情况。</w:t>
      </w:r>
    </w:p>
    <w:p>
      <w:pPr>
        <w:spacing w:line="560" w:lineRule="exact"/>
        <w:ind w:firstLine="602" w:firstLineChars="200"/>
        <w:rPr>
          <w:rFonts w:ascii="仿宋_GB2312" w:hAnsi="Times New Roman" w:eastAsia="仿宋_GB2312"/>
          <w:sz w:val="30"/>
          <w:szCs w:val="30"/>
        </w:rPr>
      </w:pPr>
      <w:r>
        <w:rPr>
          <w:rFonts w:hint="eastAsia" w:ascii="仿宋_GB2312" w:eastAsia="仿宋_GB2312"/>
          <w:b/>
          <w:sz w:val="30"/>
          <w:szCs w:val="30"/>
        </w:rPr>
        <w:t>四是坚持系统思维，稳步推进健全制度体系。</w:t>
      </w:r>
      <w:r>
        <w:rPr>
          <w:rFonts w:hint="eastAsia" w:ascii="仿宋_GB2312" w:hAnsi="Times New Roman" w:eastAsia="仿宋_GB2312"/>
          <w:sz w:val="30"/>
          <w:szCs w:val="30"/>
        </w:rPr>
        <w:t xml:space="preserve">本次《指南》内容先行设置《第一号 </w:t>
      </w:r>
      <w:r>
        <w:rPr>
          <w:rFonts w:ascii="仿宋_GB2312" w:hAnsi="Times New Roman" w:eastAsia="仿宋_GB2312"/>
          <w:sz w:val="30"/>
          <w:szCs w:val="30"/>
        </w:rPr>
        <w:t>总体要求与披露框架</w:t>
      </w:r>
      <w:r>
        <w:rPr>
          <w:rFonts w:hint="eastAsia" w:ascii="仿宋_GB2312" w:hAnsi="Times New Roman" w:eastAsia="仿宋_GB2312"/>
          <w:sz w:val="30"/>
          <w:szCs w:val="30"/>
        </w:rPr>
        <w:t xml:space="preserve">》和《第二号 </w:t>
      </w:r>
      <w:r>
        <w:rPr>
          <w:rFonts w:ascii="仿宋_GB2312" w:hAnsi="Times New Roman" w:eastAsia="仿宋_GB2312"/>
          <w:sz w:val="30"/>
          <w:szCs w:val="30"/>
        </w:rPr>
        <w:t>应对气候变化</w:t>
      </w:r>
      <w:r>
        <w:rPr>
          <w:rFonts w:hint="eastAsia" w:ascii="仿宋_GB2312" w:hAnsi="Times New Roman" w:eastAsia="仿宋_GB2312"/>
          <w:sz w:val="30"/>
          <w:szCs w:val="30"/>
        </w:rPr>
        <w:t>》两个具体指南，</w:t>
      </w:r>
      <w:bookmarkStart w:id="0" w:name="_Hlk181139135"/>
      <w:r>
        <w:rPr>
          <w:rFonts w:hint="eastAsia" w:ascii="仿宋_GB2312" w:hAnsi="Times New Roman" w:eastAsia="仿宋_GB2312"/>
          <w:sz w:val="30"/>
          <w:szCs w:val="30"/>
        </w:rPr>
        <w:t>后续将在中国证监会统筹下，根据市场需要加快推进其他重要议题具体指南的制定，</w:t>
      </w:r>
      <w:bookmarkEnd w:id="0"/>
      <w:r>
        <w:rPr>
          <w:rFonts w:hint="eastAsia" w:ascii="仿宋_GB2312" w:hAnsi="Times New Roman" w:eastAsia="仿宋_GB2312"/>
          <w:sz w:val="30"/>
          <w:szCs w:val="30"/>
        </w:rPr>
        <w:t>逐步实现对《指引》重点内容的全覆盖。未来将形成以《指引》为强制性和底线要求，《指南》为参考性规范和典型实践推荐的可持续发展信息披露制度体系。</w:t>
      </w:r>
      <w:r>
        <w:rPr>
          <w:rFonts w:hint="eastAsia" w:ascii="仿宋_GB2312" w:hAnsi="Times New Roman" w:eastAsia="仿宋_GB2312"/>
          <w:sz w:val="30"/>
          <w:szCs w:val="30"/>
          <w:lang w:eastAsia="zh-CN"/>
        </w:rPr>
        <w:t>上交所</w:t>
      </w:r>
      <w:r>
        <w:rPr>
          <w:rFonts w:hint="eastAsia" w:ascii="仿宋_GB2312" w:hAnsi="Times New Roman" w:eastAsia="仿宋_GB2312"/>
          <w:sz w:val="30"/>
          <w:szCs w:val="30"/>
        </w:rPr>
        <w:t>还将结合上市公司实践情况，持续总结上市公司最佳实践，加强对《指引》和《指南》的政策评估，不断增强制度的适应性、有效性和可操作性。</w:t>
      </w:r>
    </w:p>
    <w:p>
      <w:pPr>
        <w:spacing w:line="560" w:lineRule="exact"/>
        <w:ind w:firstLine="600" w:firstLineChars="200"/>
        <w:contextualSpacing/>
        <w:outlineLvl w:val="0"/>
        <w:rPr>
          <w:rFonts w:ascii="黑体" w:hAnsi="黑体" w:eastAsia="黑体"/>
          <w:sz w:val="30"/>
          <w:szCs w:val="30"/>
        </w:rPr>
      </w:pPr>
      <w:r>
        <w:rPr>
          <w:rFonts w:hint="eastAsia" w:ascii="黑体" w:hAnsi="黑体" w:eastAsia="黑体"/>
          <w:sz w:val="30"/>
          <w:szCs w:val="30"/>
        </w:rPr>
        <w:t>二、主要内容</w:t>
      </w:r>
    </w:p>
    <w:p>
      <w:pPr>
        <w:spacing w:line="560" w:lineRule="exact"/>
        <w:ind w:firstLine="602" w:firstLineChars="200"/>
        <w:rPr>
          <w:rFonts w:ascii="仿宋_GB2312" w:hAnsi="Times New Roman" w:eastAsia="仿宋_GB2312"/>
          <w:b/>
          <w:bCs/>
          <w:sz w:val="30"/>
          <w:szCs w:val="30"/>
        </w:rPr>
      </w:pPr>
      <w:r>
        <w:rPr>
          <w:rFonts w:hint="eastAsia" w:ascii="仿宋_GB2312" w:hAnsi="黑体" w:eastAsia="仿宋_GB2312"/>
          <w:b/>
          <w:bCs/>
          <w:sz w:val="30"/>
          <w:szCs w:val="30"/>
        </w:rPr>
        <w:t>（一）</w:t>
      </w:r>
      <w:r>
        <w:rPr>
          <w:rFonts w:hint="eastAsia" w:ascii="仿宋_GB2312" w:hAnsi="Times New Roman" w:eastAsia="仿宋_GB2312"/>
          <w:b/>
          <w:bCs/>
          <w:sz w:val="30"/>
          <w:szCs w:val="30"/>
        </w:rPr>
        <w:t>《第一号</w:t>
      </w:r>
      <w:r>
        <w:rPr>
          <w:rFonts w:ascii="仿宋_GB2312" w:hAnsi="Times New Roman" w:eastAsia="仿宋_GB2312"/>
          <w:b/>
          <w:bCs/>
          <w:sz w:val="30"/>
          <w:szCs w:val="30"/>
        </w:rPr>
        <w:t xml:space="preserve"> </w:t>
      </w:r>
      <w:r>
        <w:rPr>
          <w:rFonts w:hint="eastAsia" w:ascii="仿宋_GB2312" w:hAnsi="Times New Roman" w:eastAsia="仿宋_GB2312"/>
          <w:b/>
          <w:bCs/>
          <w:sz w:val="30"/>
          <w:szCs w:val="30"/>
        </w:rPr>
        <w:t>总体要求与披露框架》</w:t>
      </w:r>
    </w:p>
    <w:p>
      <w:pPr>
        <w:spacing w:line="560" w:lineRule="exact"/>
        <w:ind w:firstLine="600" w:firstLineChars="200"/>
        <w:rPr>
          <w:rFonts w:ascii="仿宋_GB2312" w:hAnsi="Times New Roman" w:eastAsia="仿宋_GB2312"/>
          <w:sz w:val="30"/>
          <w:szCs w:val="30"/>
        </w:rPr>
      </w:pPr>
      <w:r>
        <w:rPr>
          <w:rFonts w:hint="eastAsia" w:ascii="仿宋_GB2312" w:hAnsi="Times New Roman" w:eastAsia="仿宋_GB2312"/>
          <w:sz w:val="30"/>
          <w:szCs w:val="30"/>
        </w:rPr>
        <w:t>《第一号</w:t>
      </w:r>
      <w:r>
        <w:rPr>
          <w:rFonts w:ascii="仿宋_GB2312" w:hAnsi="Times New Roman" w:eastAsia="仿宋_GB2312"/>
          <w:sz w:val="30"/>
          <w:szCs w:val="30"/>
        </w:rPr>
        <w:t xml:space="preserve"> </w:t>
      </w:r>
      <w:r>
        <w:rPr>
          <w:rFonts w:hint="eastAsia" w:ascii="仿宋_GB2312" w:hAnsi="Times New Roman" w:eastAsia="仿宋_GB2312"/>
          <w:sz w:val="30"/>
          <w:szCs w:val="30"/>
        </w:rPr>
        <w:t>总体要求与披露框架》</w:t>
      </w:r>
      <w:r>
        <w:rPr>
          <w:rFonts w:hint="eastAsia" w:ascii="仿宋_GB2312" w:eastAsia="仿宋_GB2312"/>
          <w:sz w:val="30"/>
          <w:szCs w:val="30"/>
          <w:lang w:bidi="ar"/>
        </w:rPr>
        <w:t>共设置七章</w:t>
      </w:r>
      <w:r>
        <w:rPr>
          <w:rFonts w:hint="eastAsia" w:ascii="仿宋_GB2312" w:hAnsi="Times New Roman" w:eastAsia="仿宋_GB2312"/>
          <w:sz w:val="30"/>
          <w:szCs w:val="30"/>
        </w:rPr>
        <w:t>，包括第一章总体要求、第二章重要性议题识别和重要性分析，第三章至第六章分别为四要素披露框架相关内容，第七章为报告披露。主要内容如下：</w:t>
      </w:r>
    </w:p>
    <w:p>
      <w:pPr>
        <w:spacing w:line="560" w:lineRule="exact"/>
        <w:ind w:firstLine="602" w:firstLineChars="200"/>
        <w:rPr>
          <w:rFonts w:ascii="仿宋_GB2312" w:hAnsi="Times New Roman" w:eastAsia="仿宋_GB2312"/>
          <w:sz w:val="30"/>
          <w:szCs w:val="30"/>
        </w:rPr>
      </w:pPr>
      <w:r>
        <w:rPr>
          <w:rFonts w:hint="eastAsia" w:ascii="仿宋_GB2312" w:hAnsi="Times New Roman" w:eastAsia="仿宋_GB2312"/>
          <w:b/>
          <w:sz w:val="30"/>
          <w:szCs w:val="30"/>
        </w:rPr>
        <w:t>一是提示可持续发展报告的一般要求。</w:t>
      </w:r>
      <w:r>
        <w:rPr>
          <w:rFonts w:hint="eastAsia" w:ascii="仿宋_GB2312" w:hAnsi="Times New Roman" w:eastAsia="仿宋_GB2312"/>
          <w:sz w:val="30"/>
          <w:szCs w:val="30"/>
        </w:rPr>
        <w:t>第一章</w:t>
      </w:r>
      <w:bookmarkStart w:id="1" w:name="_Hlk181139254"/>
      <w:r>
        <w:rPr>
          <w:rFonts w:hint="eastAsia" w:ascii="仿宋_GB2312" w:hAnsi="Times New Roman" w:eastAsia="仿宋_GB2312"/>
          <w:sz w:val="30"/>
          <w:szCs w:val="30"/>
        </w:rPr>
        <w:t>对《指引》中可持续发展报告披露义务主体、报告范围、报告期间、发布时间、名称与方式、审议程序、议题设置、披露要求和豁免情形等规定的理解适用加强细化提示。</w:t>
      </w:r>
      <w:bookmarkEnd w:id="1"/>
    </w:p>
    <w:p>
      <w:pPr>
        <w:spacing w:line="560" w:lineRule="exact"/>
        <w:ind w:firstLine="602" w:firstLineChars="200"/>
        <w:rPr>
          <w:rFonts w:ascii="仿宋_GB2312" w:hAnsi="Times New Roman" w:eastAsia="仿宋_GB2312"/>
          <w:sz w:val="30"/>
          <w:szCs w:val="30"/>
        </w:rPr>
      </w:pPr>
      <w:r>
        <w:rPr>
          <w:rFonts w:hint="eastAsia" w:ascii="仿宋_GB2312" w:hAnsi="Times New Roman" w:eastAsia="仿宋_GB2312"/>
          <w:b/>
          <w:sz w:val="30"/>
          <w:szCs w:val="30"/>
        </w:rPr>
        <w:t>二是阐释识别和分析重要性议题的方法。</w:t>
      </w:r>
      <w:r>
        <w:rPr>
          <w:rFonts w:hint="eastAsia" w:ascii="仿宋_GB2312" w:hAnsi="Times New Roman" w:eastAsia="仿宋_GB2312"/>
          <w:sz w:val="30"/>
          <w:szCs w:val="30"/>
        </w:rPr>
        <w:t>第二章</w:t>
      </w:r>
      <w:bookmarkStart w:id="2" w:name="_Hlk181139343"/>
      <w:r>
        <w:rPr>
          <w:rFonts w:hint="eastAsia" w:ascii="仿宋_GB2312" w:hAnsi="Times New Roman" w:eastAsia="仿宋_GB2312"/>
          <w:sz w:val="30"/>
          <w:szCs w:val="30"/>
        </w:rPr>
        <w:t>明确重要性议题的定义及披露要求，提出重要性议题识别和分析的通用框架，并重点就影响重要性、财务重要性议题的识别和分析提供可参考的分析方法以及</w:t>
      </w:r>
      <w:bookmarkEnd w:id="2"/>
      <w:r>
        <w:rPr>
          <w:rFonts w:hint="eastAsia" w:ascii="仿宋_GB2312" w:hAnsi="Times New Roman" w:eastAsia="仿宋_GB2312"/>
          <w:sz w:val="30"/>
          <w:szCs w:val="30"/>
        </w:rPr>
        <w:t>示例。</w:t>
      </w:r>
    </w:p>
    <w:p>
      <w:pPr>
        <w:spacing w:line="560" w:lineRule="exact"/>
        <w:ind w:firstLine="602" w:firstLineChars="200"/>
        <w:rPr>
          <w:rFonts w:ascii="仿宋_GB2312" w:hAnsi="Times New Roman" w:eastAsia="仿宋_GB2312"/>
          <w:b/>
          <w:sz w:val="30"/>
          <w:szCs w:val="30"/>
        </w:rPr>
      </w:pPr>
      <w:r>
        <w:rPr>
          <w:rFonts w:hint="eastAsia" w:ascii="仿宋_GB2312" w:hAnsi="Times New Roman" w:eastAsia="仿宋_GB2312"/>
          <w:b/>
          <w:sz w:val="30"/>
          <w:szCs w:val="30"/>
        </w:rPr>
        <w:t>三是</w:t>
      </w:r>
      <w:bookmarkStart w:id="3" w:name="_Hlk181139375"/>
      <w:r>
        <w:rPr>
          <w:rFonts w:hint="eastAsia" w:ascii="仿宋_GB2312" w:hAnsi="Times New Roman" w:eastAsia="仿宋_GB2312"/>
          <w:b/>
          <w:sz w:val="30"/>
          <w:szCs w:val="30"/>
        </w:rPr>
        <w:t>明确“四要素”披露要求及示例</w:t>
      </w:r>
      <w:bookmarkEnd w:id="3"/>
      <w:r>
        <w:rPr>
          <w:rFonts w:hint="eastAsia" w:ascii="仿宋_GB2312" w:hAnsi="Times New Roman" w:eastAsia="仿宋_GB2312"/>
          <w:b/>
          <w:sz w:val="30"/>
          <w:szCs w:val="30"/>
        </w:rPr>
        <w:t>。</w:t>
      </w:r>
      <w:r>
        <w:rPr>
          <w:rFonts w:hint="eastAsia" w:ascii="仿宋_GB2312" w:hAnsi="Times New Roman" w:eastAsia="仿宋_GB2312"/>
          <w:sz w:val="30"/>
          <w:szCs w:val="30"/>
        </w:rPr>
        <w:t>第三章“治理”列举公司可持续发展治理架构和工作机制的披露要求、常见的架构设置、人员构成与职权范围、</w:t>
      </w:r>
      <w:r>
        <w:rPr>
          <w:rFonts w:hint="eastAsia" w:eastAsia="仿宋_GB2312"/>
          <w:sz w:val="30"/>
          <w:szCs w:val="30"/>
          <w:lang w:bidi="ar"/>
        </w:rPr>
        <w:t>工作任务及目标设定等，提供</w:t>
      </w:r>
      <w:r>
        <w:rPr>
          <w:rFonts w:hint="eastAsia" w:ascii="仿宋_GB2312" w:hAnsi="Times New Roman" w:eastAsia="仿宋_GB2312"/>
          <w:sz w:val="30"/>
          <w:szCs w:val="30"/>
        </w:rPr>
        <w:t>信息报告机制、监督与考核机制的示例。第四章“战略”说明可持续发展相关风险和机遇对公司的影响识别、公司应对战略及其适应性评估的方法。重点解释说明了“重大影响”的时间范围</w:t>
      </w:r>
      <w:r>
        <w:rPr>
          <w:rFonts w:hint="eastAsia" w:ascii="仿宋_GB2312" w:eastAsia="仿宋_GB2312"/>
          <w:sz w:val="30"/>
          <w:szCs w:val="30"/>
          <w:lang w:bidi="ar"/>
        </w:rPr>
        <w:t>，提供了</w:t>
      </w:r>
      <w:r>
        <w:rPr>
          <w:rFonts w:hint="eastAsia" w:ascii="仿宋_GB2312" w:hAnsi="Times New Roman" w:eastAsia="仿宋_GB2312"/>
          <w:sz w:val="30"/>
          <w:szCs w:val="30"/>
        </w:rPr>
        <w:t>评估当期和预期财务影响的</w:t>
      </w:r>
      <w:bookmarkStart w:id="5" w:name="_GoBack"/>
      <w:bookmarkEnd w:id="5"/>
      <w:r>
        <w:rPr>
          <w:rFonts w:hint="eastAsia" w:ascii="仿宋_GB2312" w:hAnsi="Times New Roman" w:eastAsia="仿宋_GB2312"/>
          <w:sz w:val="30"/>
          <w:szCs w:val="30"/>
        </w:rPr>
        <w:t>示例。第五章“影响、风险和机遇管理”提供了影响、风险和机遇管理的识别、优先序、监测和管理的流程方法，说明如何通过</w:t>
      </w:r>
      <w:r>
        <w:rPr>
          <w:rFonts w:hint="eastAsia" w:eastAsia="仿宋_GB2312"/>
          <w:kern w:val="0"/>
          <w:sz w:val="30"/>
          <w:szCs w:val="30"/>
        </w:rPr>
        <w:t>制定管理制度、明确监测流程以及管理措施的</w:t>
      </w:r>
      <w:r>
        <w:rPr>
          <w:rFonts w:hint="eastAsia" w:ascii="仿宋_GB2312" w:hAnsi="Times New Roman" w:eastAsia="仿宋_GB2312"/>
          <w:sz w:val="30"/>
          <w:szCs w:val="30"/>
        </w:rPr>
        <w:t>步骤开展影响、风险与机遇的监测与管理。第六章“指标与目标”解释设定、管理可持续发展目标和指标的具体可参考做法与示例</w:t>
      </w:r>
      <w:r>
        <w:rPr>
          <w:rFonts w:hint="eastAsia" w:ascii="仿宋_GB2312" w:hAnsi="Times New Roman" w:eastAsia="仿宋_GB2312"/>
          <w:b/>
          <w:sz w:val="30"/>
          <w:szCs w:val="30"/>
        </w:rPr>
        <w:t>。</w:t>
      </w:r>
    </w:p>
    <w:p>
      <w:pPr>
        <w:spacing w:line="560" w:lineRule="exact"/>
        <w:ind w:firstLine="602" w:firstLineChars="200"/>
        <w:rPr>
          <w:rFonts w:ascii="仿宋_GB2312" w:hAnsi="Times New Roman" w:eastAsia="仿宋_GB2312"/>
          <w:b/>
          <w:sz w:val="30"/>
          <w:szCs w:val="30"/>
        </w:rPr>
      </w:pPr>
      <w:r>
        <w:rPr>
          <w:rFonts w:hint="eastAsia" w:ascii="仿宋_GB2312" w:hAnsi="Times New Roman" w:eastAsia="仿宋_GB2312"/>
          <w:b/>
          <w:sz w:val="30"/>
          <w:szCs w:val="30"/>
        </w:rPr>
        <w:t>四是说明</w:t>
      </w:r>
      <w:r>
        <w:rPr>
          <w:rFonts w:hint="eastAsia" w:eastAsia="仿宋_GB2312"/>
          <w:b/>
          <w:sz w:val="30"/>
          <w:szCs w:val="30"/>
          <w:lang w:bidi="ar"/>
        </w:rPr>
        <w:t>报告框架、披露项归类、披露项说明的方法。</w:t>
      </w:r>
      <w:r>
        <w:rPr>
          <w:rFonts w:hint="eastAsia" w:ascii="仿宋_GB2312" w:hAnsi="Times New Roman" w:eastAsia="仿宋_GB2312"/>
          <w:sz w:val="30"/>
          <w:szCs w:val="30"/>
        </w:rPr>
        <w:t>第七章</w:t>
      </w:r>
      <w:bookmarkStart w:id="4" w:name="_Hlk181139400"/>
      <w:r>
        <w:rPr>
          <w:rFonts w:hint="eastAsia" w:ascii="仿宋_GB2312" w:hAnsi="Times New Roman" w:eastAsia="仿宋_GB2312"/>
          <w:sz w:val="30"/>
          <w:szCs w:val="30"/>
        </w:rPr>
        <w:t>为可持续发展报告框架的搭建提供参考，明确</w:t>
      </w:r>
      <w:r>
        <w:rPr>
          <w:rFonts w:hint="eastAsia" w:eastAsia="仿宋_GB2312"/>
          <w:sz w:val="30"/>
          <w:szCs w:val="30"/>
          <w:lang w:bidi="ar"/>
        </w:rPr>
        <w:t>报告框架下的披露应当对重要性议题进行逐一拆解</w:t>
      </w:r>
      <w:bookmarkEnd w:id="4"/>
      <w:r>
        <w:rPr>
          <w:rFonts w:hint="eastAsia" w:eastAsia="仿宋_GB2312"/>
          <w:sz w:val="30"/>
          <w:szCs w:val="30"/>
          <w:lang w:bidi="ar"/>
        </w:rPr>
        <w:t>，并提供</w:t>
      </w:r>
      <w:r>
        <w:rPr>
          <w:rFonts w:hint="eastAsia" w:ascii="仿宋_GB2312" w:hAnsi="Times New Roman" w:eastAsia="仿宋_GB2312"/>
          <w:sz w:val="30"/>
          <w:szCs w:val="30"/>
        </w:rPr>
        <w:t>议题定量披露项的说明、议题定性披露项的说明示例。</w:t>
      </w:r>
    </w:p>
    <w:p>
      <w:pPr>
        <w:spacing w:line="560" w:lineRule="exact"/>
        <w:rPr>
          <w:rFonts w:ascii="仿宋_GB2312" w:hAnsi="Times New Roman" w:eastAsia="仿宋_GB2312"/>
          <w:b/>
          <w:sz w:val="30"/>
          <w:szCs w:val="30"/>
        </w:rPr>
      </w:pPr>
      <w:r>
        <w:rPr>
          <w:rFonts w:hint="eastAsia" w:ascii="仿宋_GB2312" w:hAnsi="黑体" w:eastAsia="仿宋_GB2312"/>
          <w:b/>
          <w:sz w:val="30"/>
          <w:szCs w:val="30"/>
        </w:rPr>
        <w:t xml:space="preserve">    （二）</w:t>
      </w:r>
      <w:r>
        <w:rPr>
          <w:rFonts w:hint="eastAsia" w:ascii="仿宋_GB2312" w:hAnsi="Times New Roman" w:eastAsia="仿宋_GB2312"/>
          <w:b/>
          <w:sz w:val="30"/>
          <w:szCs w:val="30"/>
        </w:rPr>
        <w:t>《第二号</w:t>
      </w:r>
      <w:r>
        <w:rPr>
          <w:rFonts w:ascii="仿宋_GB2312" w:hAnsi="Times New Roman" w:eastAsia="仿宋_GB2312"/>
          <w:b/>
          <w:sz w:val="30"/>
          <w:szCs w:val="30"/>
        </w:rPr>
        <w:t xml:space="preserve"> </w:t>
      </w:r>
      <w:r>
        <w:rPr>
          <w:rFonts w:hint="eastAsia" w:ascii="仿宋_GB2312" w:hAnsi="Times New Roman" w:eastAsia="仿宋_GB2312"/>
          <w:b/>
          <w:sz w:val="30"/>
          <w:szCs w:val="30"/>
        </w:rPr>
        <w:t>应对气候变化》</w:t>
      </w:r>
    </w:p>
    <w:p>
      <w:pPr>
        <w:widowControl/>
        <w:spacing w:line="560" w:lineRule="exact"/>
        <w:ind w:firstLine="600" w:firstLineChars="200"/>
        <w:rPr>
          <w:rFonts w:ascii="仿宋_GB2312" w:hAnsi="Times New Roman" w:eastAsia="仿宋_GB2312"/>
          <w:sz w:val="30"/>
          <w:szCs w:val="30"/>
        </w:rPr>
      </w:pPr>
      <w:r>
        <w:rPr>
          <w:rFonts w:hint="eastAsia" w:ascii="仿宋_GB2312" w:hAnsi="Times New Roman" w:eastAsia="仿宋_GB2312"/>
          <w:sz w:val="30"/>
          <w:szCs w:val="30"/>
        </w:rPr>
        <w:t>《第二号 应对气候变化》共设置六章，其中，前五章是围绕气候相关议题的规则解读与操作指南，包括气候相关影响重要性评估、财务重要性评估、气候适应性和气候相关情景分析、核算温室气体排放量的流程和方法、气候相关转型计划。第六章是气候相关议题的披露要点，同时在附录部分提供温室气体排放量的披露模板示例。主要内容如下：</w:t>
      </w:r>
    </w:p>
    <w:p>
      <w:pPr>
        <w:widowControl/>
        <w:spacing w:line="560" w:lineRule="exact"/>
        <w:ind w:firstLine="602" w:firstLineChars="200"/>
        <w:rPr>
          <w:rFonts w:ascii="仿宋_GB2312" w:hAnsi="Times New Roman" w:eastAsia="仿宋_GB2312"/>
          <w:sz w:val="30"/>
          <w:szCs w:val="30"/>
        </w:rPr>
      </w:pPr>
      <w:r>
        <w:rPr>
          <w:rFonts w:hint="eastAsia" w:ascii="仿宋_GB2312" w:hAnsi="Times New Roman" w:eastAsia="仿宋_GB2312"/>
          <w:b/>
          <w:sz w:val="30"/>
          <w:szCs w:val="30"/>
        </w:rPr>
        <w:t>一是提供评估“应对气候变化”议题重要性的主要方法。</w:t>
      </w:r>
      <w:r>
        <w:rPr>
          <w:rFonts w:hint="eastAsia" w:ascii="仿宋_GB2312" w:hAnsi="Times New Roman" w:eastAsia="仿宋_GB2312"/>
          <w:sz w:val="30"/>
          <w:szCs w:val="30"/>
        </w:rPr>
        <w:t>第一章气候相关影响重要性评估旨在帮助公司理解气候影响重要性并建立评估流程。在通用重要性评估方法的基础上增加了需要额外考虑的具体气候因素，说明分析相关影响传导路径的方法。第二章对气候相关风险和机遇对公司财务的影响进行阐释，提供财务影响评估方法。</w:t>
      </w:r>
    </w:p>
    <w:p>
      <w:pPr>
        <w:widowControl/>
        <w:spacing w:line="560" w:lineRule="exact"/>
        <w:ind w:firstLine="602" w:firstLineChars="200"/>
        <w:rPr>
          <w:rFonts w:ascii="仿宋_GB2312" w:hAnsi="Times New Roman" w:eastAsia="仿宋_GB2312"/>
          <w:sz w:val="30"/>
          <w:szCs w:val="30"/>
        </w:rPr>
      </w:pPr>
      <w:r>
        <w:rPr>
          <w:rFonts w:hint="eastAsia" w:ascii="仿宋_GB2312" w:hAnsi="Times New Roman" w:eastAsia="仿宋_GB2312"/>
          <w:b/>
          <w:bCs/>
          <w:sz w:val="30"/>
          <w:szCs w:val="30"/>
        </w:rPr>
        <w:t>二是为应对气候变化议题特有的评估分析方法和流程提供参考。</w:t>
      </w:r>
      <w:r>
        <w:rPr>
          <w:rFonts w:hint="eastAsia" w:ascii="仿宋_GB2312" w:hAnsi="Times New Roman" w:eastAsia="仿宋_GB2312"/>
          <w:sz w:val="30"/>
          <w:szCs w:val="30"/>
        </w:rPr>
        <w:t>第三章为气候适应性和气候相关情景分析，介绍适应性概念、情景分析方法与流程以及情景分析主要考虑因素。第四章核算温室气体排放量的流程和方法，从组织边界、运营边界、时间边界等多维度对温室气体排放量进行界定，同时进一步细化识别温室气体排放源的方法，并对温室气体范围一、范围二和范围三排放量提供参考核算方法。第五章是气候相关转型计划，帮助公司理解转型计划内涵并提供相关转型计划的具体行动示例。</w:t>
      </w:r>
    </w:p>
    <w:p>
      <w:pPr>
        <w:widowControl/>
        <w:spacing w:line="560" w:lineRule="exact"/>
        <w:ind w:firstLine="602" w:firstLineChars="200"/>
        <w:rPr>
          <w:rFonts w:ascii="仿宋_GB2312" w:hAnsi="Times New Roman" w:eastAsia="仿宋_GB2312"/>
          <w:sz w:val="30"/>
          <w:szCs w:val="30"/>
        </w:rPr>
      </w:pPr>
      <w:r>
        <w:rPr>
          <w:rFonts w:hint="eastAsia" w:ascii="仿宋_GB2312" w:hAnsi="Times New Roman" w:eastAsia="仿宋_GB2312"/>
          <w:b/>
          <w:bCs/>
          <w:sz w:val="30"/>
          <w:szCs w:val="30"/>
        </w:rPr>
        <w:t>三是为应对气候变化议题披露进一步厘清披露要点。</w:t>
      </w:r>
      <w:r>
        <w:rPr>
          <w:rFonts w:hint="eastAsia" w:ascii="仿宋_GB2312" w:hAnsi="Times New Roman" w:eastAsia="仿宋_GB2312"/>
          <w:sz w:val="30"/>
          <w:szCs w:val="30"/>
        </w:rPr>
        <w:t>第六章对《指引》规定的气候相关议题的披露要求进行细化拆解，设置了22个披露要点，为公司提供披露参考。在治理部分，设置5个披露要点，涵盖气候相关治理机构及人员运行等内容；在战略部分，设置8个披露要点，涵盖气候相关影响、风险和机遇、对公司财务影响、适应性等内容；在影响、风险及机遇管理部分，设置1个披露要点，主要是介绍气候相关影响、风险及机遇管理的流程；在指标与目标部分，设置8个披露要点，涵盖气候相关目标及实现进展、温室气体排放量等内容。</w:t>
      </w:r>
    </w:p>
    <w:p>
      <w:pPr>
        <w:widowControl/>
        <w:spacing w:line="560" w:lineRule="exact"/>
        <w:ind w:firstLine="600" w:firstLineChars="200"/>
        <w:rPr>
          <w:rFonts w:ascii="仿宋_GB2312" w:hAnsi="Times New Roman" w:eastAsia="仿宋_GB2312"/>
          <w:sz w:val="30"/>
          <w:szCs w:val="30"/>
        </w:rPr>
      </w:pPr>
      <w:r>
        <w:rPr>
          <w:rFonts w:hint="eastAsia" w:ascii="仿宋_GB2312" w:hAnsi="Times New Roman" w:eastAsia="仿宋_GB2312"/>
          <w:sz w:val="30"/>
          <w:szCs w:val="30"/>
        </w:rPr>
        <w:t>后续，</w:t>
      </w:r>
      <w:r>
        <w:rPr>
          <w:rFonts w:hint="eastAsia" w:ascii="仿宋_GB2312" w:hAnsi="Times New Roman" w:eastAsia="仿宋_GB2312"/>
          <w:sz w:val="30"/>
          <w:szCs w:val="30"/>
          <w:lang w:eastAsia="zh-CN"/>
        </w:rPr>
        <w:t>上交所</w:t>
      </w:r>
      <w:r>
        <w:rPr>
          <w:rFonts w:hint="eastAsia" w:ascii="仿宋_GB2312" w:hAnsi="Times New Roman" w:eastAsia="仿宋_GB2312"/>
          <w:sz w:val="30"/>
          <w:szCs w:val="30"/>
        </w:rPr>
        <w:t>将结合本次征求意见过程中各方反馈的意见建议情况，进一步修改完善《指南》并正式发布。</w:t>
      </w:r>
    </w:p>
    <w:p>
      <w:pPr>
        <w:spacing w:line="560" w:lineRule="exact"/>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YyMmQzMTY0NmEwYTQ0Yjg4Yjg1Zjc2ODkzNmYifQ=="/>
  </w:docVars>
  <w:rsids>
    <w:rsidRoot w:val="00261A01"/>
    <w:rsid w:val="00046491"/>
    <w:rsid w:val="000B2DBD"/>
    <w:rsid w:val="000E07F3"/>
    <w:rsid w:val="00150680"/>
    <w:rsid w:val="00173CC1"/>
    <w:rsid w:val="00182693"/>
    <w:rsid w:val="001D4206"/>
    <w:rsid w:val="00211822"/>
    <w:rsid w:val="00215D01"/>
    <w:rsid w:val="00261A01"/>
    <w:rsid w:val="002A3E60"/>
    <w:rsid w:val="002B6923"/>
    <w:rsid w:val="002C63E8"/>
    <w:rsid w:val="0030078F"/>
    <w:rsid w:val="00362F41"/>
    <w:rsid w:val="00386069"/>
    <w:rsid w:val="003A7871"/>
    <w:rsid w:val="003B431A"/>
    <w:rsid w:val="003F5F2E"/>
    <w:rsid w:val="003F6330"/>
    <w:rsid w:val="00402B1C"/>
    <w:rsid w:val="004268E0"/>
    <w:rsid w:val="004478C7"/>
    <w:rsid w:val="00470789"/>
    <w:rsid w:val="00472F1E"/>
    <w:rsid w:val="00474C62"/>
    <w:rsid w:val="004A0F72"/>
    <w:rsid w:val="004B26B8"/>
    <w:rsid w:val="00522941"/>
    <w:rsid w:val="00551EAD"/>
    <w:rsid w:val="00581248"/>
    <w:rsid w:val="00587EBE"/>
    <w:rsid w:val="005E5589"/>
    <w:rsid w:val="006439D8"/>
    <w:rsid w:val="0066687F"/>
    <w:rsid w:val="00684EBF"/>
    <w:rsid w:val="006D492A"/>
    <w:rsid w:val="00722212"/>
    <w:rsid w:val="00764672"/>
    <w:rsid w:val="007A5319"/>
    <w:rsid w:val="007B49C6"/>
    <w:rsid w:val="007D69FB"/>
    <w:rsid w:val="00803F83"/>
    <w:rsid w:val="0086366F"/>
    <w:rsid w:val="008A070A"/>
    <w:rsid w:val="009C016A"/>
    <w:rsid w:val="009D74A7"/>
    <w:rsid w:val="009E0EA6"/>
    <w:rsid w:val="00A6559B"/>
    <w:rsid w:val="00A7005E"/>
    <w:rsid w:val="00AD5C88"/>
    <w:rsid w:val="00B66614"/>
    <w:rsid w:val="00BE1494"/>
    <w:rsid w:val="00C447E3"/>
    <w:rsid w:val="00C458D8"/>
    <w:rsid w:val="00C94A06"/>
    <w:rsid w:val="00D17952"/>
    <w:rsid w:val="00D543C2"/>
    <w:rsid w:val="00D9075C"/>
    <w:rsid w:val="00DF024D"/>
    <w:rsid w:val="00E36FE5"/>
    <w:rsid w:val="00E4672E"/>
    <w:rsid w:val="00E645F8"/>
    <w:rsid w:val="00E9192E"/>
    <w:rsid w:val="00ED76FF"/>
    <w:rsid w:val="00EE3B77"/>
    <w:rsid w:val="00EF50C0"/>
    <w:rsid w:val="00F33EA4"/>
    <w:rsid w:val="00F347A3"/>
    <w:rsid w:val="00F35DD8"/>
    <w:rsid w:val="00F52A8D"/>
    <w:rsid w:val="00F5302F"/>
    <w:rsid w:val="00F94794"/>
    <w:rsid w:val="00FF06A0"/>
    <w:rsid w:val="01EC20E2"/>
    <w:rsid w:val="01EF572E"/>
    <w:rsid w:val="02D74B40"/>
    <w:rsid w:val="03192A63"/>
    <w:rsid w:val="03265180"/>
    <w:rsid w:val="03404493"/>
    <w:rsid w:val="03A52548"/>
    <w:rsid w:val="03E312C3"/>
    <w:rsid w:val="042C4A18"/>
    <w:rsid w:val="04844854"/>
    <w:rsid w:val="04891701"/>
    <w:rsid w:val="049D3B67"/>
    <w:rsid w:val="04B769D7"/>
    <w:rsid w:val="04BA2023"/>
    <w:rsid w:val="05015EA4"/>
    <w:rsid w:val="051756C8"/>
    <w:rsid w:val="05557F9E"/>
    <w:rsid w:val="055C757F"/>
    <w:rsid w:val="0564280F"/>
    <w:rsid w:val="061834A6"/>
    <w:rsid w:val="06222576"/>
    <w:rsid w:val="06782196"/>
    <w:rsid w:val="06856661"/>
    <w:rsid w:val="06BA27AF"/>
    <w:rsid w:val="06C673A5"/>
    <w:rsid w:val="07866B35"/>
    <w:rsid w:val="07A019A5"/>
    <w:rsid w:val="07BC60B3"/>
    <w:rsid w:val="07CA6A21"/>
    <w:rsid w:val="07DE24CD"/>
    <w:rsid w:val="0825634E"/>
    <w:rsid w:val="084D42F2"/>
    <w:rsid w:val="084F33CB"/>
    <w:rsid w:val="086724C2"/>
    <w:rsid w:val="08712AE0"/>
    <w:rsid w:val="08935065"/>
    <w:rsid w:val="08CB0CA3"/>
    <w:rsid w:val="091F0FEF"/>
    <w:rsid w:val="094543BF"/>
    <w:rsid w:val="095A3DD5"/>
    <w:rsid w:val="09F03A9C"/>
    <w:rsid w:val="0A1B3564"/>
    <w:rsid w:val="0A4428A0"/>
    <w:rsid w:val="0C0A7D34"/>
    <w:rsid w:val="0C234952"/>
    <w:rsid w:val="0C4672A0"/>
    <w:rsid w:val="0C8278CB"/>
    <w:rsid w:val="0D1B1ACD"/>
    <w:rsid w:val="0D5B011C"/>
    <w:rsid w:val="0D936065"/>
    <w:rsid w:val="0DF90060"/>
    <w:rsid w:val="0E603C3C"/>
    <w:rsid w:val="0E6F0323"/>
    <w:rsid w:val="0EA77ABC"/>
    <w:rsid w:val="0EDD6F5C"/>
    <w:rsid w:val="0F331350"/>
    <w:rsid w:val="0FB71F81"/>
    <w:rsid w:val="0FCB52AE"/>
    <w:rsid w:val="10030D22"/>
    <w:rsid w:val="1041184B"/>
    <w:rsid w:val="10637A13"/>
    <w:rsid w:val="11140D0D"/>
    <w:rsid w:val="118045F5"/>
    <w:rsid w:val="119500A0"/>
    <w:rsid w:val="12617F82"/>
    <w:rsid w:val="126B2BAF"/>
    <w:rsid w:val="128F2D41"/>
    <w:rsid w:val="12955E7E"/>
    <w:rsid w:val="13983E78"/>
    <w:rsid w:val="139C5A57"/>
    <w:rsid w:val="13B93B46"/>
    <w:rsid w:val="13FB38B4"/>
    <w:rsid w:val="144B2C98"/>
    <w:rsid w:val="145A112D"/>
    <w:rsid w:val="147A357D"/>
    <w:rsid w:val="14B7657F"/>
    <w:rsid w:val="14F72E20"/>
    <w:rsid w:val="15121A08"/>
    <w:rsid w:val="1517701E"/>
    <w:rsid w:val="15233C15"/>
    <w:rsid w:val="157E4071"/>
    <w:rsid w:val="15B036FB"/>
    <w:rsid w:val="17451C21"/>
    <w:rsid w:val="17A64A5D"/>
    <w:rsid w:val="18025D64"/>
    <w:rsid w:val="18860743"/>
    <w:rsid w:val="18DC65B5"/>
    <w:rsid w:val="193A152D"/>
    <w:rsid w:val="19502AFF"/>
    <w:rsid w:val="19D13C3F"/>
    <w:rsid w:val="1A07140F"/>
    <w:rsid w:val="1A70565B"/>
    <w:rsid w:val="1A9F6E16"/>
    <w:rsid w:val="1ABE0B0A"/>
    <w:rsid w:val="1AD35795"/>
    <w:rsid w:val="1AE31E7C"/>
    <w:rsid w:val="1B522B5E"/>
    <w:rsid w:val="1C112A19"/>
    <w:rsid w:val="1C316C17"/>
    <w:rsid w:val="1C395ACC"/>
    <w:rsid w:val="1C3E30E2"/>
    <w:rsid w:val="1CAE694F"/>
    <w:rsid w:val="1CEE2B45"/>
    <w:rsid w:val="1DC37D43"/>
    <w:rsid w:val="1DE5415D"/>
    <w:rsid w:val="1E553225"/>
    <w:rsid w:val="1E933BB9"/>
    <w:rsid w:val="1E9B2A6E"/>
    <w:rsid w:val="1EFD7285"/>
    <w:rsid w:val="1F26058A"/>
    <w:rsid w:val="2001472C"/>
    <w:rsid w:val="205D622D"/>
    <w:rsid w:val="206C46C2"/>
    <w:rsid w:val="206F7D0E"/>
    <w:rsid w:val="20B61DE1"/>
    <w:rsid w:val="211A2B43"/>
    <w:rsid w:val="2129639B"/>
    <w:rsid w:val="2136082C"/>
    <w:rsid w:val="215D225D"/>
    <w:rsid w:val="219D08AB"/>
    <w:rsid w:val="22806203"/>
    <w:rsid w:val="22835CF3"/>
    <w:rsid w:val="22C95DFC"/>
    <w:rsid w:val="23016E45"/>
    <w:rsid w:val="237F64BA"/>
    <w:rsid w:val="23841D23"/>
    <w:rsid w:val="23BD5235"/>
    <w:rsid w:val="240370EB"/>
    <w:rsid w:val="24113261"/>
    <w:rsid w:val="24150BCD"/>
    <w:rsid w:val="2446522A"/>
    <w:rsid w:val="245B0CD5"/>
    <w:rsid w:val="2483022C"/>
    <w:rsid w:val="251946ED"/>
    <w:rsid w:val="25627E42"/>
    <w:rsid w:val="25643BBA"/>
    <w:rsid w:val="256C22D1"/>
    <w:rsid w:val="25D30D3F"/>
    <w:rsid w:val="25FC0296"/>
    <w:rsid w:val="26265313"/>
    <w:rsid w:val="26502390"/>
    <w:rsid w:val="27602AA7"/>
    <w:rsid w:val="276E51C4"/>
    <w:rsid w:val="27765E26"/>
    <w:rsid w:val="281713B7"/>
    <w:rsid w:val="28242227"/>
    <w:rsid w:val="2829733C"/>
    <w:rsid w:val="289449F8"/>
    <w:rsid w:val="28B9421C"/>
    <w:rsid w:val="28C055AB"/>
    <w:rsid w:val="2917637E"/>
    <w:rsid w:val="29885B6F"/>
    <w:rsid w:val="29E11C7D"/>
    <w:rsid w:val="2A866380"/>
    <w:rsid w:val="2B391645"/>
    <w:rsid w:val="2B577D1D"/>
    <w:rsid w:val="2B9845BD"/>
    <w:rsid w:val="2BB46F1D"/>
    <w:rsid w:val="2BFD3046"/>
    <w:rsid w:val="2C0F23A5"/>
    <w:rsid w:val="2C3562B0"/>
    <w:rsid w:val="2C8114F5"/>
    <w:rsid w:val="2C8B4122"/>
    <w:rsid w:val="2CD07D87"/>
    <w:rsid w:val="2D1C2FCC"/>
    <w:rsid w:val="2D360531"/>
    <w:rsid w:val="2D5664DE"/>
    <w:rsid w:val="2D60110A"/>
    <w:rsid w:val="2DB87198"/>
    <w:rsid w:val="2E5F7614"/>
    <w:rsid w:val="2F285C58"/>
    <w:rsid w:val="2F7470EF"/>
    <w:rsid w:val="2F7E7F6E"/>
    <w:rsid w:val="2FF10740"/>
    <w:rsid w:val="30316D8E"/>
    <w:rsid w:val="30B33C47"/>
    <w:rsid w:val="30E67B79"/>
    <w:rsid w:val="310E70CF"/>
    <w:rsid w:val="31126627"/>
    <w:rsid w:val="314F5699"/>
    <w:rsid w:val="31554CFE"/>
    <w:rsid w:val="31DE2F46"/>
    <w:rsid w:val="31F6203D"/>
    <w:rsid w:val="32002EBC"/>
    <w:rsid w:val="324A05DB"/>
    <w:rsid w:val="3291620A"/>
    <w:rsid w:val="32A25D21"/>
    <w:rsid w:val="32BF68D3"/>
    <w:rsid w:val="32C43EEA"/>
    <w:rsid w:val="33576B0C"/>
    <w:rsid w:val="336B5448"/>
    <w:rsid w:val="33B26438"/>
    <w:rsid w:val="33CA3782"/>
    <w:rsid w:val="33F425AD"/>
    <w:rsid w:val="34583B5C"/>
    <w:rsid w:val="34B34216"/>
    <w:rsid w:val="34BF27AD"/>
    <w:rsid w:val="34D81ECE"/>
    <w:rsid w:val="35487054"/>
    <w:rsid w:val="35B06179"/>
    <w:rsid w:val="35E93C67"/>
    <w:rsid w:val="3613470F"/>
    <w:rsid w:val="361E7DB5"/>
    <w:rsid w:val="36266C69"/>
    <w:rsid w:val="362B4280"/>
    <w:rsid w:val="369938DF"/>
    <w:rsid w:val="36AF4EB1"/>
    <w:rsid w:val="36B67FED"/>
    <w:rsid w:val="36E20DE2"/>
    <w:rsid w:val="370B4C6F"/>
    <w:rsid w:val="370C40B1"/>
    <w:rsid w:val="3788740A"/>
    <w:rsid w:val="37906A90"/>
    <w:rsid w:val="379C5435"/>
    <w:rsid w:val="387737AC"/>
    <w:rsid w:val="38CC3AF8"/>
    <w:rsid w:val="38FB43DD"/>
    <w:rsid w:val="395B30CE"/>
    <w:rsid w:val="397D1296"/>
    <w:rsid w:val="3A241712"/>
    <w:rsid w:val="3A4354CA"/>
    <w:rsid w:val="3A802DEC"/>
    <w:rsid w:val="3AA27206"/>
    <w:rsid w:val="3AD62A0C"/>
    <w:rsid w:val="3AF17846"/>
    <w:rsid w:val="3B7364AD"/>
    <w:rsid w:val="3BF7618D"/>
    <w:rsid w:val="3C1A7270"/>
    <w:rsid w:val="3CBD720B"/>
    <w:rsid w:val="3D0A2E41"/>
    <w:rsid w:val="3DA52B6A"/>
    <w:rsid w:val="3DCB25D0"/>
    <w:rsid w:val="3E00538E"/>
    <w:rsid w:val="3ECD05CA"/>
    <w:rsid w:val="3EF92944"/>
    <w:rsid w:val="3F163D1F"/>
    <w:rsid w:val="40B57568"/>
    <w:rsid w:val="40CD2B03"/>
    <w:rsid w:val="40E8793D"/>
    <w:rsid w:val="4171348E"/>
    <w:rsid w:val="41B07736"/>
    <w:rsid w:val="420E5181"/>
    <w:rsid w:val="420E6F2F"/>
    <w:rsid w:val="420F2CA7"/>
    <w:rsid w:val="425D3A13"/>
    <w:rsid w:val="427F1BDB"/>
    <w:rsid w:val="42CE66BF"/>
    <w:rsid w:val="42CF5FBD"/>
    <w:rsid w:val="43972F54"/>
    <w:rsid w:val="43C55D14"/>
    <w:rsid w:val="440920A4"/>
    <w:rsid w:val="4416031D"/>
    <w:rsid w:val="4441183E"/>
    <w:rsid w:val="44FF34A7"/>
    <w:rsid w:val="450E5498"/>
    <w:rsid w:val="45E36925"/>
    <w:rsid w:val="45F60406"/>
    <w:rsid w:val="460E39A2"/>
    <w:rsid w:val="46445615"/>
    <w:rsid w:val="46C31FBE"/>
    <w:rsid w:val="47226FD9"/>
    <w:rsid w:val="47C87B80"/>
    <w:rsid w:val="47E81FD1"/>
    <w:rsid w:val="480D1A37"/>
    <w:rsid w:val="484F3DFE"/>
    <w:rsid w:val="486755EB"/>
    <w:rsid w:val="4893018E"/>
    <w:rsid w:val="48F30C2D"/>
    <w:rsid w:val="48F6071D"/>
    <w:rsid w:val="491C0A99"/>
    <w:rsid w:val="49634005"/>
    <w:rsid w:val="49731D6E"/>
    <w:rsid w:val="4989333F"/>
    <w:rsid w:val="49DE368B"/>
    <w:rsid w:val="4A3D4856"/>
    <w:rsid w:val="4A895CED"/>
    <w:rsid w:val="4AA77F21"/>
    <w:rsid w:val="4AB368C6"/>
    <w:rsid w:val="4B0233A9"/>
    <w:rsid w:val="4B78366B"/>
    <w:rsid w:val="4BB5666E"/>
    <w:rsid w:val="4C4B0D80"/>
    <w:rsid w:val="4C7107E7"/>
    <w:rsid w:val="4C8147A2"/>
    <w:rsid w:val="4CF66F3E"/>
    <w:rsid w:val="4D113D78"/>
    <w:rsid w:val="4D1A2C2C"/>
    <w:rsid w:val="4D493511"/>
    <w:rsid w:val="4D754306"/>
    <w:rsid w:val="4DBA440F"/>
    <w:rsid w:val="4E3A10AC"/>
    <w:rsid w:val="4E4B50CF"/>
    <w:rsid w:val="4EB64BD7"/>
    <w:rsid w:val="4ED96B17"/>
    <w:rsid w:val="4EDB463D"/>
    <w:rsid w:val="4EFB083B"/>
    <w:rsid w:val="4F4A4A2E"/>
    <w:rsid w:val="5023629C"/>
    <w:rsid w:val="508E3512"/>
    <w:rsid w:val="50A62A29"/>
    <w:rsid w:val="50AF7B2F"/>
    <w:rsid w:val="50C8299F"/>
    <w:rsid w:val="50E83041"/>
    <w:rsid w:val="515C2AF0"/>
    <w:rsid w:val="51BF3DA2"/>
    <w:rsid w:val="525F5585"/>
    <w:rsid w:val="528F7C18"/>
    <w:rsid w:val="53733096"/>
    <w:rsid w:val="541D74A6"/>
    <w:rsid w:val="54336CC9"/>
    <w:rsid w:val="54596730"/>
    <w:rsid w:val="5523289A"/>
    <w:rsid w:val="55825812"/>
    <w:rsid w:val="560501F2"/>
    <w:rsid w:val="56084344"/>
    <w:rsid w:val="563F1955"/>
    <w:rsid w:val="56446F6C"/>
    <w:rsid w:val="572D5C52"/>
    <w:rsid w:val="57A557E8"/>
    <w:rsid w:val="57B97B72"/>
    <w:rsid w:val="58663AD7"/>
    <w:rsid w:val="58A1140E"/>
    <w:rsid w:val="58AB1524"/>
    <w:rsid w:val="598A113A"/>
    <w:rsid w:val="59A541C5"/>
    <w:rsid w:val="59B166C6"/>
    <w:rsid w:val="59C26B25"/>
    <w:rsid w:val="5A307EB9"/>
    <w:rsid w:val="5A6776CD"/>
    <w:rsid w:val="5A987886"/>
    <w:rsid w:val="5AB67D0C"/>
    <w:rsid w:val="5BF31218"/>
    <w:rsid w:val="5C4B3B98"/>
    <w:rsid w:val="5C5D48E3"/>
    <w:rsid w:val="5D94492C"/>
    <w:rsid w:val="5D9A3915"/>
    <w:rsid w:val="5DBE5856"/>
    <w:rsid w:val="5DF43025"/>
    <w:rsid w:val="5E0D0017"/>
    <w:rsid w:val="5E2558D5"/>
    <w:rsid w:val="5E9071F2"/>
    <w:rsid w:val="5F4678B1"/>
    <w:rsid w:val="5F6B5569"/>
    <w:rsid w:val="60011A2A"/>
    <w:rsid w:val="60C90799"/>
    <w:rsid w:val="617B1118"/>
    <w:rsid w:val="61A92379"/>
    <w:rsid w:val="621F74E2"/>
    <w:rsid w:val="62612C54"/>
    <w:rsid w:val="62AD7C47"/>
    <w:rsid w:val="62D43425"/>
    <w:rsid w:val="62D84CC4"/>
    <w:rsid w:val="62DB47B4"/>
    <w:rsid w:val="62E96ED1"/>
    <w:rsid w:val="632443AD"/>
    <w:rsid w:val="63365E8E"/>
    <w:rsid w:val="63B35731"/>
    <w:rsid w:val="63DA4A6C"/>
    <w:rsid w:val="64E35BA2"/>
    <w:rsid w:val="65402FF4"/>
    <w:rsid w:val="659547A6"/>
    <w:rsid w:val="660404C6"/>
    <w:rsid w:val="660E6C4E"/>
    <w:rsid w:val="66410DD2"/>
    <w:rsid w:val="6646288C"/>
    <w:rsid w:val="66507267"/>
    <w:rsid w:val="665C5C0C"/>
    <w:rsid w:val="66B15F58"/>
    <w:rsid w:val="66D659BE"/>
    <w:rsid w:val="67010561"/>
    <w:rsid w:val="673152EA"/>
    <w:rsid w:val="676E5BF7"/>
    <w:rsid w:val="67915D89"/>
    <w:rsid w:val="682D3D04"/>
    <w:rsid w:val="683F3A37"/>
    <w:rsid w:val="699F29DF"/>
    <w:rsid w:val="69C266CE"/>
    <w:rsid w:val="6B49404E"/>
    <w:rsid w:val="6BC404DB"/>
    <w:rsid w:val="6C33740F"/>
    <w:rsid w:val="6C8163CC"/>
    <w:rsid w:val="6D4A0EB4"/>
    <w:rsid w:val="6D7573B9"/>
    <w:rsid w:val="6D97577B"/>
    <w:rsid w:val="6D9C62E2"/>
    <w:rsid w:val="6E4C75E2"/>
    <w:rsid w:val="6E647D53"/>
    <w:rsid w:val="6E6B2E90"/>
    <w:rsid w:val="70076BE8"/>
    <w:rsid w:val="70C7588F"/>
    <w:rsid w:val="71883D59"/>
    <w:rsid w:val="71AF5789"/>
    <w:rsid w:val="726E11A1"/>
    <w:rsid w:val="726E2F4F"/>
    <w:rsid w:val="72A77254"/>
    <w:rsid w:val="72F5541E"/>
    <w:rsid w:val="73092C77"/>
    <w:rsid w:val="732F2C5A"/>
    <w:rsid w:val="749649DF"/>
    <w:rsid w:val="74C72DEA"/>
    <w:rsid w:val="75387844"/>
    <w:rsid w:val="753F0BD2"/>
    <w:rsid w:val="754B13C2"/>
    <w:rsid w:val="76261D92"/>
    <w:rsid w:val="768A40CF"/>
    <w:rsid w:val="769D3E02"/>
    <w:rsid w:val="76C92E49"/>
    <w:rsid w:val="76E00193"/>
    <w:rsid w:val="772E0EFE"/>
    <w:rsid w:val="77640DC4"/>
    <w:rsid w:val="776552C1"/>
    <w:rsid w:val="778E7BEF"/>
    <w:rsid w:val="779E42D6"/>
    <w:rsid w:val="77C84227"/>
    <w:rsid w:val="77D31AA6"/>
    <w:rsid w:val="77F739E6"/>
    <w:rsid w:val="78324A1E"/>
    <w:rsid w:val="78411105"/>
    <w:rsid w:val="784D3606"/>
    <w:rsid w:val="79110AD8"/>
    <w:rsid w:val="795804B5"/>
    <w:rsid w:val="79907C4E"/>
    <w:rsid w:val="7A3C3932"/>
    <w:rsid w:val="7A4B1DC7"/>
    <w:rsid w:val="7A624E9F"/>
    <w:rsid w:val="7AA240DD"/>
    <w:rsid w:val="7AB92285"/>
    <w:rsid w:val="7AD95625"/>
    <w:rsid w:val="7ADC6EC3"/>
    <w:rsid w:val="7B0A57DF"/>
    <w:rsid w:val="7B5B24DE"/>
    <w:rsid w:val="7C237552"/>
    <w:rsid w:val="7C694787"/>
    <w:rsid w:val="7CA12173"/>
    <w:rsid w:val="7CE3278B"/>
    <w:rsid w:val="7CF14EA8"/>
    <w:rsid w:val="7D1E1A15"/>
    <w:rsid w:val="7D24527D"/>
    <w:rsid w:val="7E1A042F"/>
    <w:rsid w:val="7E1C7D03"/>
    <w:rsid w:val="7E851D4C"/>
    <w:rsid w:val="7EAF0B77"/>
    <w:rsid w:val="7EF9B26B"/>
    <w:rsid w:val="7F121106"/>
    <w:rsid w:val="7F203823"/>
    <w:rsid w:val="7F2826D7"/>
    <w:rsid w:val="7F5931D8"/>
    <w:rsid w:val="7F692EEE"/>
    <w:rsid w:val="7F7B6CAB"/>
    <w:rsid w:val="EDF7B1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unhideWhenUsed/>
    <w:qFormat/>
    <w:uiPriority w:val="99"/>
    <w:pPr>
      <w:tabs>
        <w:tab w:val="center" w:pos="4153"/>
        <w:tab w:val="right" w:pos="8306"/>
      </w:tabs>
      <w:snapToGrid w:val="0"/>
      <w:jc w:val="left"/>
    </w:pPr>
    <w:rPr>
      <w:sz w:val="18"/>
    </w:rPr>
  </w:style>
  <w:style w:type="paragraph" w:styleId="4">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7">
    <w:name w:val="fontstyle01"/>
    <w:basedOn w:val="6"/>
    <w:qFormat/>
    <w:uiPriority w:val="0"/>
    <w:rPr>
      <w:rFonts w:hint="eastAsia" w:ascii="仿宋_GB2312" w:eastAsia="仿宋_GB2312"/>
      <w:color w:val="000000"/>
      <w:sz w:val="30"/>
      <w:szCs w:val="30"/>
    </w:rPr>
  </w:style>
  <w:style w:type="paragraph" w:customStyle="1" w:styleId="8">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9">
    <w:name w:val="批注框文本 字符"/>
    <w:basedOn w:val="6"/>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424</Words>
  <Characters>2422</Characters>
  <Lines>20</Lines>
  <Paragraphs>5</Paragraphs>
  <TotalTime>18</TotalTime>
  <ScaleCrop>false</ScaleCrop>
  <LinksUpToDate>false</LinksUpToDate>
  <CharactersWithSpaces>2841</CharactersWithSpaces>
  <Application>WPS Office_12.8.0.16982_F1E327BC-269C-435d-A152-05C5408002CA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2024-11-05T11:36:00Z</dcterms:created>
  <dcterms:modified xsi:type="dcterms:W3CDTF">2024-11-06T06:09:15Z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2052-12.8.0.16982</vt:lpwstr>
  </property>
  <property fmtid="{D5CDD505-2E9C-101B-9397-08002B2CF9AE}" pid="3" name="ICV">
    <vt:lpwstr>C6EF9950D0934F54B9A56A8E7B4526B5_12</vt:lpwstr>
  </property>
</Properties>
</file>