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017CC6">
      <w:pPr>
        <w:widowControl/>
        <w:jc w:val="left"/>
        <w:rPr>
          <w:rFonts w:eastAsia="黑体"/>
          <w:sz w:val="32"/>
          <w:szCs w:val="30"/>
        </w:rPr>
      </w:pPr>
      <w:bookmarkStart w:id="1" w:name="_GoBack"/>
      <w:bookmarkEnd w:id="1"/>
      <w:r>
        <w:rPr>
          <w:rFonts w:hAnsi="黑体" w:eastAsia="黑体"/>
          <w:kern w:val="0"/>
          <w:sz w:val="32"/>
          <w:szCs w:val="32"/>
        </w:rPr>
        <w:t>附件</w:t>
      </w:r>
      <w:r>
        <w:rPr>
          <w:rFonts w:eastAsia="黑体"/>
          <w:sz w:val="32"/>
          <w:szCs w:val="30"/>
        </w:rPr>
        <w:t>1</w:t>
      </w:r>
    </w:p>
    <w:p w14:paraId="2D17EB46">
      <w:pPr>
        <w:spacing w:line="560" w:lineRule="exact"/>
        <w:jc w:val="left"/>
        <w:rPr>
          <w:rFonts w:eastAsia="仿宋_GB2312"/>
          <w:sz w:val="30"/>
          <w:szCs w:val="30"/>
        </w:rPr>
      </w:pPr>
    </w:p>
    <w:p w14:paraId="783BA55F">
      <w:pPr>
        <w:spacing w:line="560" w:lineRule="exact"/>
        <w:jc w:val="center"/>
        <w:rPr>
          <w:rFonts w:ascii="方正大标宋简体" w:hAnsi="方正大标宋简体" w:eastAsia="方正大标宋简体"/>
          <w:sz w:val="44"/>
          <w:szCs w:val="44"/>
        </w:rPr>
      </w:pPr>
      <w:r>
        <w:rPr>
          <w:rFonts w:ascii="方正大标宋简体" w:hAnsi="方正大标宋简体" w:eastAsia="方正大标宋简体"/>
          <w:sz w:val="44"/>
          <w:szCs w:val="44"/>
        </w:rPr>
        <w:t>上海证券交易所首次公开发行证券</w:t>
      </w:r>
    </w:p>
    <w:p w14:paraId="55FA3496">
      <w:pPr>
        <w:spacing w:line="560" w:lineRule="exact"/>
        <w:jc w:val="center"/>
        <w:rPr>
          <w:rFonts w:ascii="方正大标宋简体" w:hAnsi="方正大标宋简体" w:eastAsia="方正大标宋简体"/>
          <w:sz w:val="44"/>
          <w:szCs w:val="44"/>
        </w:rPr>
      </w:pPr>
      <w:r>
        <w:rPr>
          <w:rFonts w:ascii="方正大标宋简体" w:hAnsi="方正大标宋简体" w:eastAsia="方正大标宋简体"/>
          <w:sz w:val="44"/>
          <w:szCs w:val="44"/>
        </w:rPr>
        <w:t>发行与承销业务实施细则</w:t>
      </w:r>
    </w:p>
    <w:p w14:paraId="51A36B2E">
      <w:pPr>
        <w:spacing w:line="560" w:lineRule="exact"/>
        <w:jc w:val="center"/>
        <w:rPr>
          <w:rFonts w:hint="eastAsia" w:ascii="楷体_GB2312" w:hAnsi="楷体_GB2312" w:eastAsia="楷体_GB2312" w:cs="楷体_GB2312"/>
          <w:kern w:val="0"/>
          <w:sz w:val="32"/>
          <w:szCs w:val="30"/>
        </w:rPr>
      </w:pPr>
      <w:r>
        <w:rPr>
          <w:rFonts w:hint="eastAsia" w:ascii="楷体_GB2312" w:hAnsi="楷体_GB2312" w:eastAsia="楷体_GB2312" w:cs="楷体_GB2312"/>
          <w:kern w:val="0"/>
          <w:sz w:val="32"/>
          <w:szCs w:val="30"/>
        </w:rPr>
        <w:t>（征求意见稿）</w:t>
      </w:r>
    </w:p>
    <w:p w14:paraId="3C3F0BBF">
      <w:pPr>
        <w:spacing w:line="560" w:lineRule="exact"/>
        <w:contextualSpacing/>
        <w:jc w:val="center"/>
        <w:rPr>
          <w:rFonts w:eastAsia="仿宋_GB2312"/>
          <w:sz w:val="32"/>
          <w:szCs w:val="30"/>
        </w:rPr>
      </w:pPr>
    </w:p>
    <w:p w14:paraId="7359429D">
      <w:pPr>
        <w:spacing w:line="560" w:lineRule="exact"/>
        <w:contextualSpacing/>
        <w:jc w:val="center"/>
        <w:rPr>
          <w:rFonts w:eastAsia="黑体"/>
          <w:b w:val="0"/>
          <w:sz w:val="32"/>
          <w:szCs w:val="30"/>
        </w:rPr>
      </w:pPr>
      <w:r>
        <w:rPr>
          <w:rFonts w:hAnsi="黑体" w:eastAsia="黑体"/>
          <w:b w:val="0"/>
          <w:sz w:val="32"/>
          <w:szCs w:val="30"/>
        </w:rPr>
        <w:t>第一章</w:t>
      </w:r>
      <w:r>
        <w:rPr>
          <w:rFonts w:eastAsia="黑体"/>
          <w:b w:val="0"/>
          <w:sz w:val="32"/>
          <w:szCs w:val="30"/>
        </w:rPr>
        <w:t xml:space="preserve">  </w:t>
      </w:r>
      <w:r>
        <w:rPr>
          <w:rFonts w:hAnsi="黑体" w:eastAsia="黑体"/>
          <w:b w:val="0"/>
          <w:sz w:val="32"/>
          <w:szCs w:val="30"/>
        </w:rPr>
        <w:t>总</w:t>
      </w:r>
      <w:r>
        <w:rPr>
          <w:rFonts w:hint="eastAsia" w:hAnsi="黑体" w:eastAsia="黑体"/>
          <w:b w:val="0"/>
          <w:sz w:val="32"/>
          <w:szCs w:val="30"/>
          <w:lang w:eastAsia="zh"/>
        </w:rPr>
        <w:t xml:space="preserve"> </w:t>
      </w:r>
      <w:r>
        <w:rPr>
          <w:rFonts w:hAnsi="黑体" w:eastAsia="黑体"/>
          <w:b w:val="0"/>
          <w:sz w:val="32"/>
          <w:szCs w:val="30"/>
        </w:rPr>
        <w:t>则</w:t>
      </w:r>
    </w:p>
    <w:p w14:paraId="57D8DE83">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为了规范上海证券交易所（以下简称本所）首次公开发行证券发行与承销行为，维护市场秩序，保护投资者合法权益，根据《证券发行与承销管理办法》（以下简称《承销办法》）、《首次公开发行股票注册管理办法》等相关规定，制定本细则。</w:t>
      </w:r>
    </w:p>
    <w:p w14:paraId="0D49EDBD">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经中国证券监督管理委员会（以下简称中国证监会）注册后，在本所首次公开发行股票或存托凭证（以下统称证券）的发行承销业务，适用本细则。本细则未作规定的，适用本所《上海市场首次公开发行股票网上发行实施细则》《上海市场首次公开发行股票网下发行实施细则》（以下简称《网下发行实施细则》）等规则的规定。</w:t>
      </w:r>
    </w:p>
    <w:p w14:paraId="37474D79">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证券公司承销首次公开发行证券，应当依据本细则以及中国证监会有关风险控制和内部控制等相关规定，制定严格的风险管理制度和内部控制制度，加强定价和配售过程管理，落实承销责任，防范利益冲突。</w:t>
      </w:r>
    </w:p>
    <w:p w14:paraId="4FBD9319">
      <w:pPr>
        <w:spacing w:line="560" w:lineRule="exact"/>
        <w:ind w:firstLine="640"/>
        <w:contextualSpacing/>
        <w:rPr>
          <w:rFonts w:eastAsia="仿宋_GB2312"/>
          <w:sz w:val="32"/>
          <w:szCs w:val="30"/>
        </w:rPr>
      </w:pPr>
      <w:r>
        <w:rPr>
          <w:rFonts w:eastAsia="仿宋_GB2312"/>
          <w:sz w:val="32"/>
          <w:szCs w:val="30"/>
        </w:rPr>
        <w:t>证券公司、投资者及其他相关主体应当诚实守信，严格遵守法律、行政法规、部门规章、规范性文件（以下统称法律法规）、本所业务规则和相关行业规范的规定，不得进行利益输送或者谋取不当利益。</w:t>
      </w:r>
    </w:p>
    <w:p w14:paraId="4571129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发行人和主承销商应当按照规定编制并及时、公平披露发行承销信息披露文件，保证所披露信息的真实、准确、完整，不存在虚假记载、误导性陈述或者重大遗漏。</w:t>
      </w:r>
    </w:p>
    <w:p w14:paraId="67D98D47">
      <w:pPr>
        <w:spacing w:line="560" w:lineRule="exact"/>
        <w:ind w:firstLine="640" w:firstLineChars="200"/>
        <w:contextualSpacing/>
        <w:rPr>
          <w:rFonts w:eastAsia="仿宋_GB2312"/>
          <w:sz w:val="32"/>
          <w:szCs w:val="30"/>
        </w:rPr>
      </w:pPr>
      <w:r>
        <w:rPr>
          <w:rFonts w:eastAsia="仿宋_GB2312"/>
          <w:sz w:val="32"/>
          <w:szCs w:val="30"/>
        </w:rPr>
        <w:t>证券服务机构和人员应当按照本行业公认的业务标准和道德规范，严格履行法定职责，对其所出具文件的真实性、准确性和完整性承担责任。</w:t>
      </w:r>
    </w:p>
    <w:p w14:paraId="667E64F2">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主承销商应当配备足够的业务人员，制定详细的业务流程，按照本所业务规则、业务指南等及时完成业务操作，保证所提交的发行数据真实、准确、完整。</w:t>
      </w:r>
    </w:p>
    <w:p w14:paraId="474A4EE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参与询价的机构投资者应当建立投资决策机制，完善相应内部控制制度和业务操作流程，加强报价工作管理。</w:t>
      </w:r>
    </w:p>
    <w:p w14:paraId="4E04C96E">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参与询价的投资者应当遵循独立、客观、诚信的原则，在充分研读招股资料并严格履行定价决策程序的基础上理性报价，定价依据应当充分支持最终报价结果。</w:t>
      </w:r>
    </w:p>
    <w:p w14:paraId="0B621EFA">
      <w:pPr>
        <w:spacing w:line="560" w:lineRule="exact"/>
        <w:ind w:firstLine="640" w:firstLineChars="200"/>
        <w:contextualSpacing/>
        <w:rPr>
          <w:rFonts w:eastAsia="仿宋_GB2312"/>
          <w:sz w:val="32"/>
          <w:szCs w:val="30"/>
        </w:rPr>
      </w:pPr>
      <w:r>
        <w:rPr>
          <w:rFonts w:eastAsia="仿宋_GB2312"/>
          <w:sz w:val="32"/>
          <w:szCs w:val="30"/>
        </w:rPr>
        <w:t>参与询价的投资者不得在发行价格确定前泄露报价信息或者获取其他投资者报价信息，不得协商报价或者故意压低、抬高价格，不得扰乱正常询价秩序。</w:t>
      </w:r>
    </w:p>
    <w:p w14:paraId="7408FD21">
      <w:pPr>
        <w:spacing w:line="560" w:lineRule="exact"/>
        <w:ind w:firstLine="640" w:firstLineChars="200"/>
        <w:contextualSpacing/>
        <w:rPr>
          <w:rFonts w:eastAsia="仿宋_GB2312"/>
          <w:sz w:val="32"/>
          <w:szCs w:val="30"/>
        </w:rPr>
      </w:pPr>
      <w:r>
        <w:rPr>
          <w:rFonts w:eastAsia="仿宋_GB2312"/>
          <w:sz w:val="32"/>
          <w:szCs w:val="30"/>
        </w:rPr>
        <w:t>发行人、承销商和参与询价的投资者，不得在询价活动中进行合谋报价、利益输送或者谋取其他不当利益。</w:t>
      </w:r>
    </w:p>
    <w:p w14:paraId="063A380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本所根据相关法律法规、业务规则以及本细则的规定，对首次公开发行证券发行承销活动，发行人及其控股股东、实际控制人、董事、监事、高级管理人员，证券公司、证券服务机构、投资者等参与主体实施自律管理。</w:t>
      </w:r>
    </w:p>
    <w:p w14:paraId="631644CD">
      <w:pPr>
        <w:spacing w:line="560" w:lineRule="exact"/>
        <w:contextualSpacing/>
        <w:jc w:val="center"/>
        <w:rPr>
          <w:rFonts w:eastAsia="黑体"/>
          <w:b w:val="0"/>
          <w:sz w:val="32"/>
          <w:szCs w:val="30"/>
        </w:rPr>
      </w:pPr>
      <w:r>
        <w:rPr>
          <w:rFonts w:hAnsi="黑体" w:eastAsia="黑体"/>
          <w:b w:val="0"/>
          <w:sz w:val="32"/>
          <w:szCs w:val="30"/>
        </w:rPr>
        <w:t>第二章</w:t>
      </w:r>
      <w:r>
        <w:rPr>
          <w:rFonts w:eastAsia="黑体"/>
          <w:b w:val="0"/>
          <w:sz w:val="32"/>
          <w:szCs w:val="30"/>
        </w:rPr>
        <w:t xml:space="preserve">  </w:t>
      </w:r>
      <w:r>
        <w:rPr>
          <w:rFonts w:hAnsi="黑体" w:eastAsia="黑体"/>
          <w:b w:val="0"/>
          <w:sz w:val="32"/>
          <w:szCs w:val="30"/>
        </w:rPr>
        <w:t>发行程序</w:t>
      </w:r>
    </w:p>
    <w:p w14:paraId="49AB1821">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取得中国证监会予以注册的决定后，发行人和主承销商应当及时向本所报备发行与承销方案。发行与承销方案应当包括发行方案、初步询价公告（如有）、投资价值研究报告（如有）、战略配售方案（如有）、超额配售选择权实施方案（如有）等内容。</w:t>
      </w:r>
    </w:p>
    <w:p w14:paraId="672F9B0C">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本所在收到发行与承销方案后5个工作日内表示无异议的，发行人和主承销商可依法刊登招股意向书或招股说明书，启动发行工作。</w:t>
      </w:r>
    </w:p>
    <w:p w14:paraId="07CDF48B">
      <w:pPr>
        <w:spacing w:line="560" w:lineRule="exact"/>
        <w:ind w:firstLine="640" w:firstLineChars="200"/>
        <w:contextualSpacing/>
        <w:rPr>
          <w:rFonts w:eastAsia="仿宋_GB2312"/>
          <w:sz w:val="32"/>
          <w:szCs w:val="30"/>
        </w:rPr>
      </w:pPr>
      <w:r>
        <w:rPr>
          <w:rFonts w:eastAsia="仿宋_GB2312"/>
          <w:sz w:val="32"/>
          <w:szCs w:val="30"/>
        </w:rPr>
        <w:t>发行人和主承销商报送的发行与承销方案不符合本细则规定，或者所披露事项不符合相关信息披露要求的，应当按照本所要求予以补正，补正时间不计入前款规定的5个工作日内。</w:t>
      </w:r>
    </w:p>
    <w:p w14:paraId="7845C91F">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直接定价方式的，发行人和主承销商向本所报备的发行与承销方案应明确，发行价格对应的市盈率不得超过同行业上市公司二级市场平均市盈率；已经或者同时境外发行的，确定的发行价格不得超过发行人境外市场价格。如果发行人与主承销商拟定的发行价格高于上述任一值，或者发行人尚未盈利的，发行人和主承销商应当采用询价方式发行。</w:t>
      </w:r>
    </w:p>
    <w:p w14:paraId="50DD9392">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询价方式的，应当向证券公司、基金管理公司、期货公司、信托公司、保险公司、财务公司、合格境外投资者和私募基金管理人等专业机构投资者询价。首次公开发行证券并在主板上市的，还应当向其他法人和组织、个人投资者询价。前述询价对象统称网下投资者。</w:t>
      </w:r>
    </w:p>
    <w:p w14:paraId="47611F8D">
      <w:pPr>
        <w:spacing w:line="560" w:lineRule="exact"/>
        <w:ind w:firstLine="640" w:firstLineChars="200"/>
        <w:contextualSpacing/>
        <w:rPr>
          <w:rFonts w:eastAsia="仿宋_GB2312"/>
          <w:sz w:val="32"/>
          <w:szCs w:val="30"/>
        </w:rPr>
      </w:pPr>
      <w:r>
        <w:rPr>
          <w:rFonts w:eastAsia="仿宋_GB2312"/>
          <w:sz w:val="32"/>
          <w:szCs w:val="30"/>
        </w:rPr>
        <w:t>网下投资者应当具备丰富的投资经验、良好的定价能力和风险承受能力，向中国证券业协会注册，接受中国证券业协会的自律管理，遵守中国证券业协会的自律规则。</w:t>
      </w:r>
    </w:p>
    <w:p w14:paraId="00B5D6C5">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首次公开发行证券采用询价方式的，发行人和主承销商可以在符合中国证监会相关规定和本所、中国证券业协会相关自律规则前提下，协商设置参与询价的网下投资者具体条件，并在发行公告中预先披露。</w:t>
      </w:r>
    </w:p>
    <w:p w14:paraId="388C6023">
      <w:pPr>
        <w:spacing w:line="560" w:lineRule="exact"/>
        <w:ind w:firstLine="640" w:firstLineChars="200"/>
        <w:contextualSpacing/>
        <w:rPr>
          <w:rFonts w:eastAsia="仿宋_GB2312"/>
          <w:sz w:val="32"/>
          <w:szCs w:val="30"/>
        </w:rPr>
      </w:pPr>
      <w:r>
        <w:rPr>
          <w:rFonts w:eastAsia="仿宋_GB2312"/>
          <w:sz w:val="32"/>
          <w:szCs w:val="30"/>
        </w:rPr>
        <w:t>发行人和主承销商应当充分重视公募基金、社保基金、养老金、年金基金、保险资金和合格境外投资者资金等配售对象的长期投资理念，合理设置其参与网下询价的具体条件，引导其按照科学、独立、客观、审慎的原则参与网下询价。</w:t>
      </w:r>
    </w:p>
    <w:p w14:paraId="7A5E8CE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网下机构投资者应当建立确保合规报价的内控制度，妥善留存参与报价的定价依据、定价决策过程、申报记录等文件和相关信息，保存期限不得少于20年。</w:t>
      </w:r>
    </w:p>
    <w:p w14:paraId="378DC2A3">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询价的网下投资者可以为其管理的不同配售对象账户分别填报一个报价，每个报价应当包含配售对象信息、每股价格和该价格对应的拟申购股数。同一网下投资者全部报价中的不同拟申购价格不超过3个，且最高价格与最低价格的差额不得超过最低价格的20%。</w:t>
      </w:r>
    </w:p>
    <w:p w14:paraId="16B5E4BF">
      <w:pPr>
        <w:spacing w:line="560" w:lineRule="exact"/>
        <w:ind w:firstLine="640" w:firstLineChars="200"/>
        <w:contextualSpacing/>
        <w:rPr>
          <w:rFonts w:eastAsia="仿宋_GB2312"/>
          <w:sz w:val="32"/>
          <w:szCs w:val="30"/>
        </w:rPr>
      </w:pPr>
      <w:r>
        <w:rPr>
          <w:rFonts w:eastAsia="仿宋_GB2312"/>
          <w:sz w:val="32"/>
          <w:szCs w:val="30"/>
        </w:rPr>
        <w:t>首次公开发行证券价格（或发行价格区间）确定后，提供有效报价的投资者方可参与申购。</w:t>
      </w:r>
    </w:p>
    <w:p w14:paraId="72EB4486">
      <w:pPr>
        <w:spacing w:line="560" w:lineRule="exact"/>
        <w:ind w:firstLine="640" w:firstLineChars="200"/>
        <w:contextualSpacing/>
        <w:rPr>
          <w:rFonts w:eastAsia="仿宋_GB2312"/>
          <w:sz w:val="32"/>
          <w:szCs w:val="30"/>
        </w:rPr>
      </w:pPr>
      <w:r>
        <w:rPr>
          <w:rFonts w:eastAsia="仿宋_GB2312"/>
          <w:sz w:val="32"/>
          <w:szCs w:val="30"/>
        </w:rPr>
        <w:t>前款所称有效报价，是指网下投资者申报的不低于主承销商和发行人确定的发行价格或发行价格区间下限，且未作为最高报价部分被剔除，同时符合主承销商和发行人事先确定且公告的其他条件的报价。</w:t>
      </w:r>
    </w:p>
    <w:p w14:paraId="3BC9ED11">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询价方式的，初步询价结束后，发行人和主承销商应当剔除拟申购总量中报价最高的部分，剔除部分不超过所有网下投资者拟申购总量的3%；当拟剔除的最高申报价格部分中的最低价格与确定的发行价格（或者发行价格区间上限）相同时，对该价格的申报可不再剔除。剔除部分不得参与网下申购。</w:t>
      </w:r>
    </w:p>
    <w:p w14:paraId="7F0A11FB">
      <w:pPr>
        <w:spacing w:line="560" w:lineRule="exact"/>
        <w:ind w:firstLine="640" w:firstLineChars="200"/>
        <w:contextualSpacing/>
        <w:rPr>
          <w:rFonts w:eastAsia="仿宋_GB2312"/>
          <w:sz w:val="32"/>
          <w:szCs w:val="30"/>
        </w:rPr>
      </w:pPr>
      <w:r>
        <w:rPr>
          <w:rFonts w:eastAsia="仿宋_GB2312"/>
          <w:sz w:val="32"/>
          <w:szCs w:val="30"/>
        </w:rPr>
        <w:t>本所可以根据市场情况，调整前款规定的报价最高部分剔除比例。</w:t>
      </w:r>
    </w:p>
    <w:p w14:paraId="3A0E69F2">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初步询价结束后，发行人和主承销商根据网下投资者报价等情况，审慎合理确定发行价格（或者发行价格区间上限）。</w:t>
      </w:r>
    </w:p>
    <w:p w14:paraId="1E92CC16">
      <w:pPr>
        <w:spacing w:line="560" w:lineRule="exact"/>
        <w:ind w:firstLine="640" w:firstLineChars="200"/>
        <w:contextualSpacing/>
        <w:rPr>
          <w:rFonts w:eastAsia="仿宋_GB2312"/>
          <w:sz w:val="32"/>
          <w:szCs w:val="30"/>
        </w:rPr>
      </w:pPr>
      <w:r>
        <w:rPr>
          <w:rFonts w:eastAsia="仿宋_GB2312"/>
          <w:sz w:val="32"/>
          <w:szCs w:val="30"/>
        </w:rPr>
        <w:t>发行人和主承销商确定发行价格区间的，区间上限与下限的差额不得超过区间下限的20%。</w:t>
      </w:r>
    </w:p>
    <w:p w14:paraId="09D526D5">
      <w:pPr>
        <w:spacing w:line="560" w:lineRule="exact"/>
        <w:ind w:firstLine="640" w:firstLineChars="200"/>
        <w:contextualSpacing/>
        <w:rPr>
          <w:rFonts w:eastAsia="仿宋_GB2312"/>
          <w:sz w:val="32"/>
          <w:szCs w:val="30"/>
        </w:rPr>
      </w:pPr>
      <w:r>
        <w:rPr>
          <w:rFonts w:eastAsia="仿宋_GB2312"/>
          <w:sz w:val="32"/>
          <w:szCs w:val="30"/>
        </w:rPr>
        <w:t>本所可以根据市场情况，调整前款规定的报价区间差额比例。</w:t>
      </w:r>
    </w:p>
    <w:p w14:paraId="7BC1AD22">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首次公开发行证券采用询价方式的，网上申购前，发行人和主承销商应当披露下列信息：</w:t>
      </w:r>
    </w:p>
    <w:p w14:paraId="6AE8A37C">
      <w:pPr>
        <w:spacing w:line="560" w:lineRule="exact"/>
        <w:ind w:firstLine="640" w:firstLineChars="200"/>
        <w:contextualSpacing/>
        <w:rPr>
          <w:rFonts w:eastAsia="仿宋_GB2312"/>
          <w:sz w:val="32"/>
          <w:szCs w:val="30"/>
        </w:rPr>
      </w:pPr>
      <w:r>
        <w:rPr>
          <w:rFonts w:eastAsia="仿宋_GB2312"/>
          <w:sz w:val="32"/>
          <w:szCs w:val="30"/>
        </w:rPr>
        <w:t>（一）同行业上市公司二级市场平均市盈率；</w:t>
      </w:r>
    </w:p>
    <w:p w14:paraId="0CBA62F6">
      <w:pPr>
        <w:spacing w:line="560" w:lineRule="exact"/>
        <w:ind w:firstLine="640" w:firstLineChars="200"/>
        <w:contextualSpacing/>
        <w:rPr>
          <w:rFonts w:eastAsia="仿宋_GB2312"/>
          <w:sz w:val="32"/>
          <w:szCs w:val="30"/>
        </w:rPr>
      </w:pPr>
      <w:r>
        <w:rPr>
          <w:rFonts w:eastAsia="仿宋_GB2312"/>
          <w:sz w:val="32"/>
          <w:szCs w:val="30"/>
        </w:rPr>
        <w:t>（二）已经或者同时境外发行证券的境外证券市场价格；</w:t>
      </w:r>
    </w:p>
    <w:p w14:paraId="2021DB8E">
      <w:pPr>
        <w:spacing w:line="560" w:lineRule="exact"/>
        <w:ind w:firstLine="640" w:firstLineChars="200"/>
        <w:contextualSpacing/>
        <w:rPr>
          <w:rFonts w:eastAsia="仿宋_GB2312"/>
          <w:sz w:val="32"/>
          <w:szCs w:val="30"/>
        </w:rPr>
      </w:pPr>
      <w:r>
        <w:rPr>
          <w:rFonts w:eastAsia="仿宋_GB2312"/>
          <w:sz w:val="32"/>
          <w:szCs w:val="30"/>
        </w:rPr>
        <w:t>（三）剔除最高报价部分后所有网下投资者及各类网下投资者剩余报价的中位数和加权平均数；</w:t>
      </w:r>
    </w:p>
    <w:p w14:paraId="63126A36">
      <w:pPr>
        <w:spacing w:line="560" w:lineRule="exact"/>
        <w:ind w:firstLine="640" w:firstLineChars="200"/>
        <w:contextualSpacing/>
        <w:rPr>
          <w:rFonts w:eastAsia="仿宋_GB2312"/>
          <w:sz w:val="32"/>
          <w:szCs w:val="30"/>
        </w:rPr>
      </w:pPr>
      <w:r>
        <w:rPr>
          <w:rFonts w:eastAsia="仿宋_GB2312"/>
          <w:sz w:val="32"/>
          <w:szCs w:val="30"/>
        </w:rPr>
        <w:t>（四）剔除最高报价部分后公募基金、社保基金、养老金、年金基金、保险资金和合格境外投资者资金剩余报价的中位数和加权平均数；</w:t>
      </w:r>
    </w:p>
    <w:p w14:paraId="70D8523B">
      <w:pPr>
        <w:spacing w:line="560" w:lineRule="exact"/>
        <w:ind w:firstLine="640" w:firstLineChars="200"/>
        <w:contextualSpacing/>
        <w:rPr>
          <w:rFonts w:eastAsia="仿宋_GB2312"/>
          <w:sz w:val="32"/>
          <w:szCs w:val="30"/>
        </w:rPr>
      </w:pPr>
      <w:r>
        <w:rPr>
          <w:rFonts w:eastAsia="仿宋_GB2312"/>
          <w:sz w:val="32"/>
          <w:szCs w:val="30"/>
        </w:rPr>
        <w:t>（五）网下投资者详细报价情况，具体包括投资者名称、配售对象信息、申购价格及对应的拟申购数量、发行价格或发行价格区间确定的主要依据，以及发行价格或发行价格区间上限所对应的网下投资者超额认购倍数。</w:t>
      </w:r>
    </w:p>
    <w:p w14:paraId="24C0B1D1">
      <w:pPr>
        <w:spacing w:line="560" w:lineRule="exact"/>
        <w:ind w:firstLine="640" w:firstLineChars="200"/>
        <w:contextualSpacing/>
        <w:rPr>
          <w:rFonts w:eastAsia="仿宋_GB2312"/>
          <w:sz w:val="32"/>
          <w:szCs w:val="30"/>
        </w:rPr>
      </w:pPr>
      <w:r>
        <w:rPr>
          <w:rFonts w:eastAsia="仿宋_GB2312"/>
          <w:sz w:val="32"/>
          <w:szCs w:val="30"/>
        </w:rPr>
        <w:t>首次公开发行证券安排网下限售且采用约定限售方式的，发行人和主承销商还应当披露剔除最高报价部分后不同限售安排的网下投资者剩余报价的中位数和加权平均数。</w:t>
      </w:r>
    </w:p>
    <w:p w14:paraId="56722D83">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首次公开发行证券采用询价方式且存在下列情形之一的，发行人和主承销商应当在网上申购前发布投资风险特别公告，详细说明定价合理性，提示投资者注意投资风险：</w:t>
      </w:r>
    </w:p>
    <w:p w14:paraId="19B0AE04">
      <w:pPr>
        <w:adjustRightInd w:val="0"/>
        <w:spacing w:line="560" w:lineRule="exact"/>
        <w:ind w:firstLine="640" w:firstLineChars="200"/>
        <w:contextualSpacing/>
        <w:rPr>
          <w:rFonts w:eastAsia="仿宋_GB2312"/>
          <w:sz w:val="32"/>
          <w:szCs w:val="30"/>
        </w:rPr>
      </w:pPr>
      <w:r>
        <w:rPr>
          <w:rFonts w:eastAsia="仿宋_GB2312"/>
          <w:sz w:val="32"/>
          <w:szCs w:val="30"/>
        </w:rPr>
        <w:t>（一）发行价格（或者发行价格区间上限）对应市盈率超过同行业上市公司二级市场平均市盈率；</w:t>
      </w:r>
    </w:p>
    <w:p w14:paraId="5E5455F0">
      <w:pPr>
        <w:adjustRightInd w:val="0"/>
        <w:spacing w:line="560" w:lineRule="exact"/>
        <w:ind w:firstLine="640" w:firstLineChars="200"/>
        <w:contextualSpacing/>
        <w:rPr>
          <w:rFonts w:eastAsia="仿宋_GB2312"/>
          <w:sz w:val="32"/>
          <w:szCs w:val="30"/>
        </w:rPr>
      </w:pPr>
      <w:r>
        <w:rPr>
          <w:rFonts w:eastAsia="仿宋_GB2312"/>
          <w:sz w:val="32"/>
          <w:szCs w:val="30"/>
        </w:rPr>
        <w:t>（二）发行价格（或者发行价格区间上限）超过剔除最高报价部分后网下投资者剩余报价的中位数和加权平均数，以及公募基金、社保基金、养老金、年金基金、保险资金和合格境外投资者资金剩余报价中位数和加权平均数的孰低值；</w:t>
      </w:r>
    </w:p>
    <w:p w14:paraId="3079D3DD">
      <w:pPr>
        <w:adjustRightInd w:val="0"/>
        <w:spacing w:line="560" w:lineRule="exact"/>
        <w:ind w:firstLine="640" w:firstLineChars="200"/>
        <w:contextualSpacing/>
        <w:rPr>
          <w:rFonts w:eastAsia="仿宋_GB2312"/>
          <w:sz w:val="32"/>
          <w:szCs w:val="30"/>
        </w:rPr>
      </w:pPr>
      <w:r>
        <w:rPr>
          <w:rFonts w:eastAsia="仿宋_GB2312"/>
          <w:sz w:val="32"/>
          <w:szCs w:val="30"/>
        </w:rPr>
        <w:t>（三）发行价格（或者发行价格区间上限）超过境外市场价格；</w:t>
      </w:r>
    </w:p>
    <w:p w14:paraId="7CDE98A8">
      <w:pPr>
        <w:adjustRightInd w:val="0"/>
        <w:spacing w:line="560" w:lineRule="exact"/>
        <w:ind w:firstLine="640" w:firstLineChars="200"/>
        <w:contextualSpacing/>
        <w:rPr>
          <w:rFonts w:eastAsia="仿宋_GB2312"/>
          <w:sz w:val="32"/>
          <w:szCs w:val="30"/>
        </w:rPr>
      </w:pPr>
      <w:r>
        <w:rPr>
          <w:rFonts w:eastAsia="仿宋_GB2312"/>
          <w:sz w:val="32"/>
          <w:szCs w:val="30"/>
        </w:rPr>
        <w:t>（四）发行人尚未盈利。</w:t>
      </w:r>
    </w:p>
    <w:p w14:paraId="3B537923">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除《承销办法》规定的中止发行情形外，发行人预计发行后总市值不满足其在招股说明书中明确选择的市值与财务指标上市标准的，应当中止发行。</w:t>
      </w:r>
    </w:p>
    <w:p w14:paraId="76B2DB50">
      <w:pPr>
        <w:adjustRightInd w:val="0"/>
        <w:spacing w:line="560" w:lineRule="exact"/>
        <w:ind w:firstLine="640" w:firstLineChars="200"/>
        <w:contextualSpacing/>
        <w:rPr>
          <w:rFonts w:eastAsia="仿宋_GB2312"/>
          <w:sz w:val="32"/>
          <w:szCs w:val="30"/>
        </w:rPr>
      </w:pPr>
      <w:r>
        <w:rPr>
          <w:rFonts w:eastAsia="仿宋_GB2312"/>
          <w:sz w:val="32"/>
          <w:szCs w:val="30"/>
        </w:rPr>
        <w:t>前款所称预计发行后总市值是指初步询价结束后，按照确定的发行价格（或者发行价格区间下限）乘以发行后总股本（不含采用超额配售选择权发行的证券数量）计算的总市值。</w:t>
      </w:r>
    </w:p>
    <w:p w14:paraId="7B7F5F5E">
      <w:pPr>
        <w:adjustRightInd w:val="0"/>
        <w:spacing w:line="560" w:lineRule="exact"/>
        <w:ind w:firstLine="640" w:firstLineChars="200"/>
        <w:contextualSpacing/>
        <w:rPr>
          <w:rFonts w:eastAsia="仿宋_GB2312"/>
          <w:sz w:val="32"/>
          <w:szCs w:val="30"/>
        </w:rPr>
      </w:pPr>
      <w:r>
        <w:rPr>
          <w:rFonts w:eastAsia="仿宋_GB2312"/>
          <w:sz w:val="32"/>
          <w:szCs w:val="30"/>
        </w:rPr>
        <w:t>中止发行后，在中国证监会予以注册决定的有效期内，且满足会后事项监管要求的前提下，经向本所备案，可重新启动发行。</w:t>
      </w:r>
    </w:p>
    <w:p w14:paraId="503AEE4D">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证券发行价格或发行价格区间确定后，发行人和主承销商应当在规定时间内向本所提交发行公告或者中止发行公告，并在公告中说明发行人预计发行后总市值是否满足在招股说明书中明确选择的市值与财务指标上市标准。</w:t>
      </w:r>
    </w:p>
    <w:p w14:paraId="4449A7F4">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网下投资者在初步询价时为其配售对象账户填报的拟申购价格属于有效报价的，网下投资者应当根据《网下发行实施细则》的规定按照发行价格申购，或者在发行价格区间内进行累计投标询价报价和申购。</w:t>
      </w:r>
    </w:p>
    <w:p w14:paraId="097E0D9D">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和主承销商通过累计投标询价确定发行价格的，应当根据网下投资者为其配售对象账户填写的申购价格和申购数量，审慎合理确定超额配售认购倍数及发行价格。网下投资者的申购报价和询价报价应当逻辑一致，不得存在高报不买等情形。</w:t>
      </w:r>
    </w:p>
    <w:p w14:paraId="54D72E42">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和主承销商通过累计投标询价确定发行价格的，应当在申购日规定时间内向本所提交发行价格及网上中签率公告。未按规定提交的，应当中止发行。中止发行后，符合本细则第二十条第三款规定的，可重新启动发行。</w:t>
      </w:r>
    </w:p>
    <w:p w14:paraId="67B0FD11">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w:t>
      </w:r>
      <w:r>
        <w:rPr>
          <w:rFonts w:hAnsi="仿宋_GB2312" w:eastAsia="仿宋_GB2312"/>
          <w:sz w:val="32"/>
          <w:szCs w:val="30"/>
        </w:rPr>
        <w:t>首次公开发行证券采用询价方式在主板上市，公开发行后总股本在</w:t>
      </w:r>
      <w:r>
        <w:rPr>
          <w:rFonts w:eastAsia="仿宋_GB2312"/>
          <w:sz w:val="32"/>
          <w:szCs w:val="30"/>
        </w:rPr>
        <w:t>4</w:t>
      </w:r>
      <w:r>
        <w:rPr>
          <w:rFonts w:hAnsi="仿宋_GB2312" w:eastAsia="仿宋_GB2312"/>
          <w:sz w:val="32"/>
          <w:szCs w:val="30"/>
        </w:rPr>
        <w:t>亿股（份）以下的，网下初始发行比例不低于本次公开发行证券数量的</w:t>
      </w:r>
      <w:r>
        <w:rPr>
          <w:rFonts w:eastAsia="仿宋_GB2312"/>
          <w:sz w:val="32"/>
          <w:szCs w:val="30"/>
        </w:rPr>
        <w:t>60%</w:t>
      </w:r>
      <w:r>
        <w:rPr>
          <w:rFonts w:hAnsi="仿宋_GB2312" w:eastAsia="仿宋_GB2312"/>
          <w:sz w:val="32"/>
          <w:szCs w:val="30"/>
        </w:rPr>
        <w:t>；公开发行后总股本超过</w:t>
      </w:r>
      <w:r>
        <w:rPr>
          <w:rFonts w:eastAsia="仿宋_GB2312"/>
          <w:sz w:val="32"/>
          <w:szCs w:val="30"/>
        </w:rPr>
        <w:t>4</w:t>
      </w:r>
      <w:r>
        <w:rPr>
          <w:rFonts w:hAnsi="仿宋_GB2312" w:eastAsia="仿宋_GB2312"/>
          <w:sz w:val="32"/>
          <w:szCs w:val="30"/>
        </w:rPr>
        <w:t>亿股（份）的，网下初始发行比例不低于本次公开发行证券数量的</w:t>
      </w:r>
      <w:r>
        <w:rPr>
          <w:rFonts w:eastAsia="仿宋_GB2312"/>
          <w:sz w:val="32"/>
          <w:szCs w:val="30"/>
        </w:rPr>
        <w:t>70%</w:t>
      </w:r>
      <w:r>
        <w:rPr>
          <w:rFonts w:hAnsi="仿宋_GB2312" w:eastAsia="仿宋_GB2312"/>
          <w:sz w:val="32"/>
          <w:szCs w:val="30"/>
        </w:rPr>
        <w:t>。</w:t>
      </w:r>
    </w:p>
    <w:p w14:paraId="775EBA67">
      <w:pPr>
        <w:spacing w:line="560" w:lineRule="exact"/>
        <w:ind w:firstLine="640" w:firstLineChars="200"/>
        <w:contextualSpacing/>
        <w:rPr>
          <w:rFonts w:eastAsia="仿宋_GB2312"/>
          <w:sz w:val="32"/>
          <w:szCs w:val="30"/>
        </w:rPr>
      </w:pPr>
      <w:r>
        <w:rPr>
          <w:rFonts w:hAnsi="仿宋_GB2312" w:eastAsia="仿宋_GB2312"/>
          <w:sz w:val="32"/>
          <w:szCs w:val="30"/>
        </w:rPr>
        <w:t>首次公开发行证券采用询价方式在科创板上市，公开发行后总股本在</w:t>
      </w:r>
      <w:r>
        <w:rPr>
          <w:rFonts w:eastAsia="仿宋_GB2312"/>
          <w:sz w:val="32"/>
          <w:szCs w:val="30"/>
        </w:rPr>
        <w:t>4</w:t>
      </w:r>
      <w:r>
        <w:rPr>
          <w:rFonts w:hAnsi="仿宋_GB2312" w:eastAsia="仿宋_GB2312"/>
          <w:sz w:val="32"/>
          <w:szCs w:val="30"/>
        </w:rPr>
        <w:t>亿股（份）以下的，网下初始发行比例不低于本次公开发行证券数量的</w:t>
      </w:r>
      <w:r>
        <w:rPr>
          <w:rFonts w:eastAsia="仿宋_GB2312"/>
          <w:sz w:val="32"/>
          <w:szCs w:val="30"/>
        </w:rPr>
        <w:t>70%</w:t>
      </w:r>
      <w:r>
        <w:rPr>
          <w:rFonts w:hAnsi="仿宋_GB2312" w:eastAsia="仿宋_GB2312"/>
          <w:sz w:val="32"/>
          <w:szCs w:val="30"/>
        </w:rPr>
        <w:t>；公开发行后总股本超过</w:t>
      </w:r>
      <w:r>
        <w:rPr>
          <w:rFonts w:eastAsia="仿宋_GB2312"/>
          <w:sz w:val="32"/>
          <w:szCs w:val="30"/>
        </w:rPr>
        <w:t>4</w:t>
      </w:r>
      <w:r>
        <w:rPr>
          <w:rFonts w:hAnsi="仿宋_GB2312" w:eastAsia="仿宋_GB2312"/>
          <w:sz w:val="32"/>
          <w:szCs w:val="30"/>
        </w:rPr>
        <w:t>亿股（份）或者发行人尚未盈利的，网下初始发行比例不低于本次公开发行证券数量的</w:t>
      </w:r>
      <w:r>
        <w:rPr>
          <w:rFonts w:eastAsia="仿宋_GB2312"/>
          <w:sz w:val="32"/>
          <w:szCs w:val="30"/>
        </w:rPr>
        <w:t>80%</w:t>
      </w:r>
      <w:r>
        <w:rPr>
          <w:rFonts w:hAnsi="仿宋_GB2312" w:eastAsia="仿宋_GB2312"/>
          <w:sz w:val="32"/>
          <w:szCs w:val="30"/>
        </w:rPr>
        <w:t>。</w:t>
      </w:r>
    </w:p>
    <w:p w14:paraId="523AEA95">
      <w:pPr>
        <w:spacing w:line="560" w:lineRule="exact"/>
        <w:ind w:firstLine="640" w:firstLineChars="200"/>
        <w:contextualSpacing/>
        <w:rPr>
          <w:rFonts w:eastAsia="仿宋_GB2312"/>
          <w:sz w:val="32"/>
          <w:szCs w:val="30"/>
        </w:rPr>
      </w:pPr>
      <w:r>
        <w:rPr>
          <w:rFonts w:eastAsia="仿宋_GB2312"/>
          <w:sz w:val="32"/>
          <w:szCs w:val="30"/>
        </w:rPr>
        <w:t>安排战略配售的，应当扣除战略配售部分后确定网下网上发行比例。</w:t>
      </w:r>
    </w:p>
    <w:p w14:paraId="40EEEBC2">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首次公开发行证券采用询价方式的，发行人和主承销商应当安排不低于本次网下发行证券数量的70%优先向公募基金、社保基金、养老金、年金基金、保险资金和合格境外投资者资金配售。</w:t>
      </w:r>
    </w:p>
    <w:p w14:paraId="6366AEC4">
      <w:pPr>
        <w:spacing w:line="560" w:lineRule="exact"/>
        <w:ind w:firstLine="640" w:firstLineChars="200"/>
        <w:contextualSpacing/>
        <w:rPr>
          <w:rFonts w:eastAsia="仿宋_GB2312"/>
          <w:sz w:val="32"/>
          <w:szCs w:val="30"/>
        </w:rPr>
      </w:pPr>
      <w:r>
        <w:rPr>
          <w:rFonts w:eastAsia="仿宋_GB2312"/>
          <w:sz w:val="32"/>
          <w:szCs w:val="30"/>
        </w:rPr>
        <w:t>公募基金、社保基金、养老金、年金基金、保险资金和合格境外投资者资金有效申购不足安排数量的，发行人和主承销商可以向其他符合条件的网下投资者配售剩余部分。</w:t>
      </w:r>
    </w:p>
    <w:p w14:paraId="5DB19E19">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对网下投资者进行分类配售的，发行人和主承销商可以根据配售对象的机构类别、产品属性、承诺持有期限等合理设置具体类别，在发行公告中预先披露。同类投资者获得配售的比例应当相同。</w:t>
      </w:r>
    </w:p>
    <w:p w14:paraId="7A2E49F4">
      <w:pPr>
        <w:spacing w:line="560" w:lineRule="exact"/>
        <w:ind w:firstLine="640" w:firstLineChars="200"/>
        <w:contextualSpacing/>
        <w:rPr>
          <w:rFonts w:eastAsia="仿宋_GB2312"/>
          <w:sz w:val="32"/>
          <w:szCs w:val="30"/>
        </w:rPr>
      </w:pPr>
      <w:r>
        <w:rPr>
          <w:rFonts w:eastAsia="仿宋_GB2312"/>
          <w:sz w:val="32"/>
          <w:szCs w:val="30"/>
        </w:rPr>
        <w:t>公募基金、社保基金、养老金、年金基金、保险资金和合格境外投资者资金的配售比例应当不低于其他投资者。</w:t>
      </w:r>
    </w:p>
    <w:p w14:paraId="2170635D">
      <w:pPr>
        <w:spacing w:line="560" w:lineRule="exact"/>
        <w:ind w:firstLine="640" w:firstLineChars="200"/>
        <w:contextualSpacing/>
        <w:rPr>
          <w:rFonts w:eastAsia="仿宋_GB2312"/>
          <w:sz w:val="32"/>
          <w:szCs w:val="30"/>
        </w:rPr>
      </w:pPr>
      <w:r>
        <w:rPr>
          <w:rFonts w:eastAsia="仿宋_GB2312"/>
          <w:sz w:val="32"/>
          <w:szCs w:val="30"/>
        </w:rPr>
        <w:t>采用约定限售方式的，限售比例更高、限售期更长的网下投资者配售比例应当不低于其他投资者。</w:t>
      </w:r>
    </w:p>
    <w:p w14:paraId="56C17B4A">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首次公开发行证券安排网下限售的，发行人和主承销商可以采用下列限售方式之一，并在初步询价公告中预先披露：</w:t>
      </w:r>
    </w:p>
    <w:p w14:paraId="3F15D68A">
      <w:pPr>
        <w:spacing w:line="560" w:lineRule="exact"/>
        <w:ind w:firstLine="640" w:firstLineChars="200"/>
        <w:contextualSpacing/>
        <w:rPr>
          <w:rFonts w:eastAsia="仿宋_GB2312"/>
          <w:sz w:val="32"/>
          <w:szCs w:val="30"/>
        </w:rPr>
      </w:pPr>
      <w:r>
        <w:rPr>
          <w:rFonts w:eastAsia="仿宋_GB2312"/>
          <w:sz w:val="32"/>
          <w:szCs w:val="30"/>
        </w:rPr>
        <w:t>（一）摇号限售，摇号抽取不低于10%的配售对象账户，网下投资者应当承诺中签账户获配证券限售；</w:t>
      </w:r>
    </w:p>
    <w:p w14:paraId="6CBEBB5A">
      <w:pPr>
        <w:spacing w:line="560" w:lineRule="exact"/>
        <w:ind w:firstLine="640" w:firstLineChars="200"/>
        <w:contextualSpacing/>
        <w:rPr>
          <w:rFonts w:eastAsia="仿宋_GB2312"/>
          <w:sz w:val="32"/>
          <w:szCs w:val="30"/>
        </w:rPr>
      </w:pPr>
      <w:r>
        <w:rPr>
          <w:rFonts w:eastAsia="仿宋_GB2312"/>
          <w:sz w:val="32"/>
          <w:szCs w:val="30"/>
        </w:rPr>
        <w:t>（二）比例限售，网下投资者应当承诺不低于10%的获配证券数量限售；</w:t>
      </w:r>
    </w:p>
    <w:p w14:paraId="0F5C57D0">
      <w:pPr>
        <w:spacing w:line="560" w:lineRule="exact"/>
        <w:ind w:firstLine="640" w:firstLineChars="200"/>
        <w:contextualSpacing/>
        <w:rPr>
          <w:rFonts w:eastAsia="仿宋_GB2312"/>
          <w:sz w:val="32"/>
          <w:szCs w:val="30"/>
        </w:rPr>
      </w:pPr>
      <w:r>
        <w:rPr>
          <w:rFonts w:eastAsia="仿宋_GB2312"/>
          <w:sz w:val="32"/>
          <w:szCs w:val="30"/>
        </w:rPr>
        <w:t>（三）约定限售，未盈利的发行人和主承销商安排网下发行证券设定不同档位的限售比例或限售期，公募基金、社保基金、养老金、年金基金、保险资金和合格境外投资者资金可以自主申购不同限售档位的证券，其他投资者按照最低限售档位自主申购。</w:t>
      </w:r>
    </w:p>
    <w:p w14:paraId="3A5AA252">
      <w:pPr>
        <w:spacing w:line="560" w:lineRule="exact"/>
        <w:ind w:firstLine="640" w:firstLineChars="200"/>
        <w:contextualSpacing/>
        <w:rPr>
          <w:rFonts w:eastAsia="仿宋_GB2312"/>
          <w:sz w:val="32"/>
          <w:szCs w:val="30"/>
        </w:rPr>
      </w:pPr>
      <w:r>
        <w:rPr>
          <w:rFonts w:eastAsia="仿宋_GB2312"/>
          <w:sz w:val="32"/>
          <w:szCs w:val="30"/>
        </w:rPr>
        <w:t>首次公开发行证券安排网下限售的，限售期不低于6个月。发行规模在100亿元以上的，设置相应限售期的配售对象账户或获配证券数量的比例不低于70%。</w:t>
      </w:r>
    </w:p>
    <w:p w14:paraId="0E93B7F8">
      <w:pPr>
        <w:pStyle w:val="16"/>
        <w:numPr>
          <w:ilvl w:val="0"/>
          <w:numId w:val="1"/>
        </w:numPr>
        <w:spacing w:line="560" w:lineRule="exact"/>
        <w:ind w:left="0" w:firstLine="640"/>
        <w:contextualSpacing/>
        <w:rPr>
          <w:rFonts w:eastAsia="黑体"/>
          <w:b/>
          <w:sz w:val="32"/>
          <w:szCs w:val="30"/>
        </w:rPr>
      </w:pPr>
      <w:r>
        <w:rPr>
          <w:rFonts w:eastAsia="仿宋_GB2312"/>
          <w:sz w:val="32"/>
          <w:szCs w:val="30"/>
        </w:rPr>
        <w:t xml:space="preserve"> 发行人尚未盈利的，网下发行证券的限售比例根据首次公开发行证券的规模分档确定：</w:t>
      </w:r>
    </w:p>
    <w:p w14:paraId="246FFD55">
      <w:pPr>
        <w:spacing w:line="560" w:lineRule="exact"/>
        <w:ind w:firstLine="640" w:firstLineChars="200"/>
        <w:contextualSpacing/>
        <w:rPr>
          <w:rFonts w:eastAsia="仿宋_GB2312"/>
          <w:sz w:val="32"/>
          <w:szCs w:val="30"/>
        </w:rPr>
      </w:pPr>
      <w:r>
        <w:rPr>
          <w:rFonts w:eastAsia="仿宋_GB2312"/>
          <w:sz w:val="32"/>
          <w:szCs w:val="30"/>
        </w:rPr>
        <w:t>（一）发行规模不足10亿元的，限售比例不低于10%；</w:t>
      </w:r>
    </w:p>
    <w:p w14:paraId="5EF38852">
      <w:pPr>
        <w:spacing w:line="560" w:lineRule="exact"/>
        <w:ind w:firstLine="640" w:firstLineChars="200"/>
        <w:contextualSpacing/>
        <w:rPr>
          <w:rFonts w:eastAsia="仿宋_GB2312"/>
          <w:sz w:val="32"/>
          <w:szCs w:val="30"/>
        </w:rPr>
      </w:pPr>
      <w:r>
        <w:rPr>
          <w:rFonts w:eastAsia="仿宋_GB2312"/>
          <w:sz w:val="32"/>
          <w:szCs w:val="30"/>
        </w:rPr>
        <w:t>（二）发行规模10亿元以上、不足100亿元的，限售比例不低于40%；</w:t>
      </w:r>
    </w:p>
    <w:p w14:paraId="25D25920">
      <w:pPr>
        <w:spacing w:line="560" w:lineRule="exact"/>
        <w:ind w:firstLine="640" w:firstLineChars="200"/>
        <w:contextualSpacing/>
        <w:rPr>
          <w:rFonts w:eastAsia="仿宋_GB2312"/>
          <w:sz w:val="32"/>
          <w:szCs w:val="30"/>
        </w:rPr>
      </w:pPr>
      <w:r>
        <w:rPr>
          <w:rFonts w:eastAsia="仿宋_GB2312"/>
          <w:sz w:val="32"/>
          <w:szCs w:val="30"/>
        </w:rPr>
        <w:t>（三）发行规模100亿元以上的，限售比例不低于70%。</w:t>
      </w:r>
    </w:p>
    <w:p w14:paraId="0BA188A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首次公开发行证券网下投资者申购数量低于网下初始发行量的，发行人和主承销商应当中止发行，不得将网下发行部分向网上回拨。网上投资者申购数量不足网上初始发行量的，可以回拨给网下投资者。</w:t>
      </w:r>
    </w:p>
    <w:p w14:paraId="7AB71F9E">
      <w:pPr>
        <w:pStyle w:val="16"/>
        <w:adjustRightInd w:val="0"/>
        <w:spacing w:line="560" w:lineRule="exact"/>
        <w:ind w:firstLine="640"/>
        <w:contextualSpacing/>
        <w:rPr>
          <w:rFonts w:eastAsia="仿宋_GB2312"/>
          <w:sz w:val="32"/>
          <w:szCs w:val="30"/>
        </w:rPr>
      </w:pPr>
      <w:r>
        <w:rPr>
          <w:rFonts w:eastAsia="仿宋_GB2312"/>
          <w:sz w:val="32"/>
          <w:szCs w:val="30"/>
        </w:rPr>
        <w:t>首次公开发行证券采用询价方式在主板上市，网上投资者有效申购倍数超过50倍且不超过100倍的，应当从网下向网上回拨，回拨比例为本次公开发行证券数量的20%；网上投资者有效申购倍数超过100倍的，回拨比例为本次公开发行证券数量的40%。</w:t>
      </w:r>
    </w:p>
    <w:p w14:paraId="19958237">
      <w:pPr>
        <w:pStyle w:val="16"/>
        <w:adjustRightInd w:val="0"/>
        <w:spacing w:line="560" w:lineRule="exact"/>
        <w:ind w:firstLine="640"/>
        <w:contextualSpacing/>
        <w:rPr>
          <w:rFonts w:eastAsia="仿宋_GB2312"/>
          <w:sz w:val="32"/>
          <w:szCs w:val="30"/>
        </w:rPr>
      </w:pPr>
      <w:r>
        <w:rPr>
          <w:rFonts w:eastAsia="仿宋_GB2312"/>
          <w:sz w:val="32"/>
          <w:szCs w:val="30"/>
        </w:rPr>
        <w:t>首次公开发行证券采用询价方式在科创板上市，网上投资者有效申购倍数超过50倍且不超过100倍的，应当从网下向网上回拨，回拨比例为本次公开发行证券数量的5%；网上投资者有效申购倍数超过100倍的，回拨比例为本次公开发行证券数量的10%。回拨后无限售期的网下发行数量原则上不超过本次公开发行证券数量的80%。</w:t>
      </w:r>
    </w:p>
    <w:p w14:paraId="27E3997E">
      <w:pPr>
        <w:pStyle w:val="16"/>
        <w:adjustRightInd w:val="0"/>
        <w:spacing w:line="560" w:lineRule="exact"/>
        <w:ind w:firstLine="640"/>
        <w:contextualSpacing/>
        <w:rPr>
          <w:rFonts w:eastAsia="仿宋_GB2312"/>
          <w:sz w:val="32"/>
          <w:szCs w:val="30"/>
        </w:rPr>
      </w:pPr>
      <w:r>
        <w:rPr>
          <w:rFonts w:eastAsia="仿宋_GB2312"/>
          <w:sz w:val="32"/>
          <w:szCs w:val="30"/>
        </w:rPr>
        <w:t>本条所称公开发行证券数量应当扣除战略配售部分计算，主板发行规模在100亿元以上的还应当扣除网下限售部分。</w:t>
      </w:r>
    </w:p>
    <w:p w14:paraId="0DE4D1E3">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市场发生重大变化的，发行人和主承销商可以要求网下投资者缴纳不超过拟申购金额20%的保证金。</w:t>
      </w:r>
    </w:p>
    <w:p w14:paraId="691C8646">
      <w:pPr>
        <w:pStyle w:val="16"/>
        <w:adjustRightInd w:val="0"/>
        <w:spacing w:line="560" w:lineRule="exact"/>
        <w:ind w:firstLine="640"/>
        <w:contextualSpacing/>
        <w:rPr>
          <w:rFonts w:eastAsia="仿宋_GB2312"/>
          <w:sz w:val="32"/>
          <w:szCs w:val="30"/>
        </w:rPr>
      </w:pPr>
      <w:r>
        <w:rPr>
          <w:rFonts w:eastAsia="仿宋_GB2312"/>
          <w:sz w:val="32"/>
          <w:szCs w:val="30"/>
        </w:rPr>
        <w:t>要求网下投资者缴纳保证金的，发行人和主承销商应当按照公正、透明的原则，在发行与承销方案中明确收取认购保证金及网下投资者弃购时保证金的处理方式等安排，并在发行公告中披露。</w:t>
      </w:r>
    </w:p>
    <w:p w14:paraId="417B672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网下和网上投资者申购证券获得配售后，应当按时足额缴付认购资金。网下和网上投资者缴款认购的证券数量合计不足本次公开发行证券数量的70%时，可以中止发行。中止发行后，符合本细则第二十条第三款规定的，可重新启动发行。</w:t>
      </w:r>
    </w:p>
    <w:p w14:paraId="4AA86B6B">
      <w:pPr>
        <w:pStyle w:val="16"/>
        <w:adjustRightInd w:val="0"/>
        <w:spacing w:line="560" w:lineRule="exact"/>
        <w:ind w:firstLine="640"/>
        <w:contextualSpacing/>
        <w:rPr>
          <w:rFonts w:eastAsia="仿宋_GB2312"/>
          <w:sz w:val="32"/>
          <w:szCs w:val="30"/>
        </w:rPr>
      </w:pPr>
      <w:r>
        <w:rPr>
          <w:rFonts w:eastAsia="仿宋_GB2312"/>
          <w:sz w:val="32"/>
          <w:szCs w:val="30"/>
        </w:rPr>
        <w:t>首次公开发行证券申购冻结资金的利息应当按照有关规定及时划入证券投资者保护基金。</w:t>
      </w:r>
    </w:p>
    <w:p w14:paraId="0ED8C8D7">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网上投资者连续12个月内累计出现3次中签但未足额缴款的情形时，自结算参与人最近一次申报其放弃认购的次日起6个月（按180个自然日计算，含次日）内不得参与新股、存托凭证、可转换公司债券、可交换公司债券网上申购。</w:t>
      </w:r>
    </w:p>
    <w:p w14:paraId="557F84B3">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市场发生重大变化，投资者弃购数量占本次公开发行证券数量比例超过10%的，发行人和主承销商可以就投资者弃购部分向网下投资者进行二次配售。</w:t>
      </w:r>
    </w:p>
    <w:p w14:paraId="7956EE17">
      <w:pPr>
        <w:pStyle w:val="16"/>
        <w:adjustRightInd w:val="0"/>
        <w:spacing w:line="560" w:lineRule="exact"/>
        <w:ind w:firstLine="640"/>
        <w:contextualSpacing/>
        <w:rPr>
          <w:rFonts w:eastAsia="仿宋_GB2312"/>
          <w:sz w:val="32"/>
          <w:szCs w:val="30"/>
        </w:rPr>
      </w:pPr>
      <w:r>
        <w:rPr>
          <w:rFonts w:eastAsia="仿宋_GB2312"/>
          <w:sz w:val="32"/>
          <w:szCs w:val="30"/>
        </w:rPr>
        <w:t>安排二次配售的，发行人与主承销商应当在发行与承销方案中约定二次配售的程序、投资者条件和配售原则等。发行人和主承销商应当发布二次配售公告，披露网下投资者二次配售及缴款安排。</w:t>
      </w:r>
    </w:p>
    <w:p w14:paraId="11CA5047">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发行人上市前，发行人股东可以将用于存放首发前股票的证券账户指定交易至为发行人提供首次公开发行上市保荐服务的保荐人。</w:t>
      </w:r>
    </w:p>
    <w:p w14:paraId="69EC5711">
      <w:pPr>
        <w:spacing w:line="560" w:lineRule="exact"/>
        <w:ind w:firstLine="640" w:firstLineChars="200"/>
        <w:contextualSpacing/>
        <w:rPr>
          <w:rFonts w:eastAsia="仿宋_GB2312"/>
          <w:sz w:val="32"/>
          <w:szCs w:val="30"/>
        </w:rPr>
      </w:pPr>
      <w:r>
        <w:rPr>
          <w:rFonts w:eastAsia="仿宋_GB2312"/>
          <w:sz w:val="32"/>
          <w:szCs w:val="30"/>
        </w:rPr>
        <w:t>前款规定的保荐人应当按照本所业务规则的规定，对发行人股东减持首发前股份的交易委托进行监督管理。</w:t>
      </w:r>
    </w:p>
    <w:p w14:paraId="5284205D">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证券发行完成后，发行人应当及时向本所报送证券上市申请文件，本所根据发行人申请和法律法规及本所业务规则的规定，作出是否同意上市的决定。证券未在本所同意上市决定中明确的时间上市的，发行人和主承销商应当公告说明理由及后续事宜。</w:t>
      </w:r>
    </w:p>
    <w:p w14:paraId="25E89194">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证券上市之日起10个工作日内，主承销商应当将验资报告、专项法律意见书、承销总结报告等文件一并通过本所向中国证监会备案。</w:t>
      </w:r>
    </w:p>
    <w:p w14:paraId="39BFDC62">
      <w:pPr>
        <w:spacing w:line="560" w:lineRule="exact"/>
        <w:contextualSpacing/>
        <w:jc w:val="center"/>
        <w:rPr>
          <w:rFonts w:eastAsia="黑体"/>
          <w:b w:val="0"/>
          <w:bCs w:val="0"/>
          <w:sz w:val="32"/>
          <w:szCs w:val="30"/>
        </w:rPr>
      </w:pPr>
      <w:r>
        <w:rPr>
          <w:rFonts w:hAnsi="黑体" w:eastAsia="黑体"/>
          <w:b w:val="0"/>
          <w:bCs w:val="0"/>
          <w:sz w:val="32"/>
          <w:szCs w:val="30"/>
        </w:rPr>
        <w:t>第三章</w:t>
      </w:r>
      <w:r>
        <w:rPr>
          <w:rFonts w:eastAsia="黑体"/>
          <w:b w:val="0"/>
          <w:bCs w:val="0"/>
          <w:sz w:val="32"/>
          <w:szCs w:val="30"/>
        </w:rPr>
        <w:t xml:space="preserve">  </w:t>
      </w:r>
      <w:r>
        <w:rPr>
          <w:rFonts w:hAnsi="黑体" w:eastAsia="黑体"/>
          <w:b w:val="0"/>
          <w:bCs w:val="0"/>
          <w:sz w:val="32"/>
          <w:szCs w:val="30"/>
        </w:rPr>
        <w:t>战略配售</w:t>
      </w:r>
    </w:p>
    <w:p w14:paraId="4B2712DC">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可以实施战略配售。发行证券数量不足1亿股（份）的，参与战略配售的投资者数量应当不超过10名，战略配售证券数量占本次公开发行证券数量的比例应当不超过20%。发行证券数量1亿股（份）以上的，参与战略配售的投资者数量应当不超过35名。其中，发行证券数量1亿股（份）以上、不足4亿股（份）的，战略配售证券数量占本次公开发行证券数量的比例应当不超过30%；4亿股（份）以上的，战略配售证券数量占本次公开发行证券数量的比例应当不超过50%。</w:t>
      </w:r>
    </w:p>
    <w:p w14:paraId="258D97D5">
      <w:pPr>
        <w:pStyle w:val="16"/>
        <w:spacing w:line="560" w:lineRule="exact"/>
        <w:ind w:firstLine="640"/>
        <w:contextualSpacing/>
        <w:rPr>
          <w:rFonts w:eastAsia="仿宋_GB2312"/>
          <w:sz w:val="32"/>
          <w:szCs w:val="30"/>
        </w:rPr>
      </w:pPr>
      <w:r>
        <w:rPr>
          <w:rFonts w:eastAsia="仿宋_GB2312"/>
          <w:sz w:val="32"/>
          <w:szCs w:val="30"/>
        </w:rPr>
        <w:t>依法设立并符合特定投资目的的证券投资基金参与战略配售的，应当以基金管理人的名义作为1名投资者参与发行。同一基金管理人仅能以其管理的1只证券投资基金参与本次战略配售。</w:t>
      </w:r>
    </w:p>
    <w:p w14:paraId="5CBAB83A">
      <w:pPr>
        <w:pStyle w:val="16"/>
        <w:spacing w:line="560" w:lineRule="exact"/>
        <w:ind w:firstLine="640"/>
        <w:contextualSpacing/>
        <w:rPr>
          <w:rFonts w:eastAsia="仿宋_GB2312"/>
          <w:sz w:val="32"/>
          <w:szCs w:val="30"/>
        </w:rPr>
      </w:pPr>
      <w:r>
        <w:rPr>
          <w:rFonts w:eastAsia="仿宋_GB2312"/>
          <w:sz w:val="32"/>
          <w:szCs w:val="30"/>
        </w:rPr>
        <w:t>发行人和主承销商应当根据首次公开发行证券数量、证券限售安排以及实际需要，合理确定参与战略配售的投资者数量和配售比例，保障证券上市后必要的流动性。</w:t>
      </w:r>
    </w:p>
    <w:p w14:paraId="0C17E7F6">
      <w:pPr>
        <w:pStyle w:val="16"/>
        <w:numPr>
          <w:ilvl w:val="0"/>
          <w:numId w:val="1"/>
        </w:numPr>
        <w:spacing w:line="560" w:lineRule="exact"/>
        <w:ind w:left="0" w:firstLine="640"/>
        <w:contextualSpacing/>
        <w:rPr>
          <w:rFonts w:eastAsia="仿宋_GB2312"/>
          <w:sz w:val="32"/>
          <w:szCs w:val="30"/>
        </w:rPr>
      </w:pPr>
      <w:bookmarkStart w:id="0" w:name="_Hlk5437633"/>
      <w:r>
        <w:rPr>
          <w:rFonts w:eastAsia="仿宋_GB2312"/>
          <w:sz w:val="32"/>
          <w:szCs w:val="30"/>
        </w:rPr>
        <w:t xml:space="preserve"> 发行人应当与参与战略配售的投资者事先签署配售协议。发行人和主承销商应当在发行公告中披露参与战略配售的投资者选择标准、战略配售证券总量、占本次发行证券的比例以及持有期限等。</w:t>
      </w:r>
    </w:p>
    <w:p w14:paraId="2F37C74A">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参与发行人战略配售的投资者，应当具备良好的市场声誉和影响力，具有较强资金实力，认可发行人长期投资价值，并按照最终确定的发行价格认购其承诺认购数量的发行人证券。</w:t>
      </w:r>
    </w:p>
    <w:p w14:paraId="58AEB241">
      <w:pPr>
        <w:pStyle w:val="16"/>
        <w:spacing w:line="560" w:lineRule="exact"/>
        <w:ind w:firstLine="640"/>
        <w:contextualSpacing/>
        <w:rPr>
          <w:rFonts w:eastAsia="仿宋_GB2312"/>
          <w:sz w:val="32"/>
          <w:szCs w:val="30"/>
        </w:rPr>
      </w:pPr>
      <w:r>
        <w:rPr>
          <w:rFonts w:eastAsia="仿宋_GB2312"/>
          <w:sz w:val="32"/>
          <w:szCs w:val="30"/>
        </w:rPr>
        <w:t>保荐人相关子公司和发行人的高级管理人员、核心员工参与本次战略配售设立的专项资产管理计划，按照《承销办法》、本细则及本所其他有关规定参与发行人战略配售。</w:t>
      </w:r>
    </w:p>
    <w:bookmarkEnd w:id="0"/>
    <w:p w14:paraId="4055C5A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参与发行人战略配售的投资者主要包括：</w:t>
      </w:r>
    </w:p>
    <w:p w14:paraId="46F458E1">
      <w:pPr>
        <w:pStyle w:val="16"/>
        <w:spacing w:line="560" w:lineRule="exact"/>
        <w:ind w:firstLine="640"/>
        <w:contextualSpacing/>
        <w:rPr>
          <w:rFonts w:eastAsia="仿宋_GB2312"/>
          <w:sz w:val="32"/>
          <w:szCs w:val="30"/>
        </w:rPr>
      </w:pPr>
      <w:r>
        <w:rPr>
          <w:rFonts w:eastAsia="仿宋_GB2312"/>
          <w:sz w:val="32"/>
          <w:szCs w:val="30"/>
        </w:rPr>
        <w:t>（一）与发行人经营业务具有战略合作关系或长期合作愿景的大型企业或其下属企业；</w:t>
      </w:r>
    </w:p>
    <w:p w14:paraId="0191ACB5">
      <w:pPr>
        <w:pStyle w:val="16"/>
        <w:spacing w:line="560" w:lineRule="exact"/>
        <w:ind w:firstLine="640"/>
        <w:contextualSpacing/>
        <w:rPr>
          <w:rFonts w:eastAsia="仿宋_GB2312"/>
          <w:sz w:val="32"/>
          <w:szCs w:val="30"/>
        </w:rPr>
      </w:pPr>
      <w:r>
        <w:rPr>
          <w:rFonts w:eastAsia="仿宋_GB2312"/>
          <w:sz w:val="32"/>
          <w:szCs w:val="30"/>
        </w:rPr>
        <w:t>（二）具有长期投资意愿的大型保险公司或其下属企业、国家级大型投资基金或其下属企业；</w:t>
      </w:r>
    </w:p>
    <w:p w14:paraId="0E93999D">
      <w:pPr>
        <w:pStyle w:val="16"/>
        <w:spacing w:line="560" w:lineRule="exact"/>
        <w:ind w:firstLine="640"/>
        <w:contextualSpacing/>
        <w:rPr>
          <w:rFonts w:eastAsia="仿宋_GB2312"/>
          <w:sz w:val="32"/>
          <w:szCs w:val="30"/>
        </w:rPr>
      </w:pPr>
      <w:r>
        <w:rPr>
          <w:rFonts w:eastAsia="仿宋_GB2312"/>
          <w:sz w:val="32"/>
          <w:szCs w:val="30"/>
        </w:rPr>
        <w:t>（三）以公开募集方式设立，主要投资策略包括投资战略配售证券，且以封闭方式运作的证券投资基金；</w:t>
      </w:r>
    </w:p>
    <w:p w14:paraId="1A4C3622">
      <w:pPr>
        <w:pStyle w:val="16"/>
        <w:spacing w:line="560" w:lineRule="exact"/>
        <w:ind w:firstLine="640"/>
        <w:contextualSpacing/>
        <w:rPr>
          <w:rFonts w:eastAsia="仿宋_GB2312"/>
          <w:sz w:val="32"/>
          <w:szCs w:val="30"/>
        </w:rPr>
      </w:pPr>
      <w:r>
        <w:rPr>
          <w:rFonts w:eastAsia="仿宋_GB2312"/>
          <w:sz w:val="32"/>
          <w:szCs w:val="30"/>
        </w:rPr>
        <w:t>（四）参与科创板跟投的保荐人相关子公司；</w:t>
      </w:r>
    </w:p>
    <w:p w14:paraId="7409B49B">
      <w:pPr>
        <w:pStyle w:val="16"/>
        <w:spacing w:line="560" w:lineRule="exact"/>
        <w:ind w:firstLine="640"/>
        <w:contextualSpacing/>
        <w:rPr>
          <w:rFonts w:eastAsia="仿宋_GB2312"/>
          <w:sz w:val="32"/>
          <w:szCs w:val="30"/>
        </w:rPr>
      </w:pPr>
      <w:r>
        <w:rPr>
          <w:rFonts w:eastAsia="仿宋_GB2312"/>
          <w:sz w:val="32"/>
          <w:szCs w:val="30"/>
        </w:rPr>
        <w:t>（五）发行人的高级管理人员与核心员工参与本次战略配售设立的专项资产管理计划；</w:t>
      </w:r>
    </w:p>
    <w:p w14:paraId="145AAF6B">
      <w:pPr>
        <w:pStyle w:val="16"/>
        <w:spacing w:line="560" w:lineRule="exact"/>
        <w:ind w:firstLine="640"/>
        <w:contextualSpacing/>
        <w:rPr>
          <w:rFonts w:eastAsia="仿宋_GB2312"/>
          <w:sz w:val="32"/>
          <w:szCs w:val="30"/>
        </w:rPr>
      </w:pPr>
      <w:r>
        <w:rPr>
          <w:rFonts w:eastAsia="仿宋_GB2312"/>
          <w:sz w:val="32"/>
          <w:szCs w:val="30"/>
        </w:rPr>
        <w:t>（六）符合法律法规、业务规则规定的其他投资者。</w:t>
      </w:r>
    </w:p>
    <w:p w14:paraId="13889C5E">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发行人和主承销商实施战略配售的，不得存在下列情形：</w:t>
      </w:r>
    </w:p>
    <w:p w14:paraId="75D482D4">
      <w:pPr>
        <w:pStyle w:val="16"/>
        <w:spacing w:line="560" w:lineRule="exact"/>
        <w:ind w:firstLine="640"/>
        <w:contextualSpacing/>
        <w:rPr>
          <w:rFonts w:eastAsia="仿宋_GB2312"/>
          <w:sz w:val="32"/>
          <w:szCs w:val="30"/>
        </w:rPr>
      </w:pPr>
      <w:r>
        <w:rPr>
          <w:rFonts w:eastAsia="仿宋_GB2312"/>
          <w:sz w:val="32"/>
          <w:szCs w:val="30"/>
        </w:rPr>
        <w:t>（一）发行人和主承销商向参与战略配售的投资者承诺上市后股价将上涨，或者股价如未上涨将由发行人购回证券或者给予任何形式的经济补偿；</w:t>
      </w:r>
    </w:p>
    <w:p w14:paraId="6FD05FB2">
      <w:pPr>
        <w:pStyle w:val="16"/>
        <w:spacing w:line="560" w:lineRule="exact"/>
        <w:ind w:firstLine="640"/>
        <w:contextualSpacing/>
        <w:rPr>
          <w:rFonts w:eastAsia="仿宋_GB2312"/>
          <w:sz w:val="32"/>
          <w:szCs w:val="30"/>
        </w:rPr>
      </w:pPr>
      <w:r>
        <w:rPr>
          <w:rFonts w:eastAsia="仿宋_GB2312"/>
          <w:sz w:val="32"/>
          <w:szCs w:val="30"/>
        </w:rPr>
        <w:t>（二）主承销商以承诺对承销费用分成、介绍参与其他发行人战略配售等作为条件引入参与战略配售的投资者；</w:t>
      </w:r>
    </w:p>
    <w:p w14:paraId="403AE28C">
      <w:pPr>
        <w:pStyle w:val="16"/>
        <w:spacing w:line="560" w:lineRule="exact"/>
        <w:ind w:firstLine="640"/>
        <w:contextualSpacing/>
        <w:rPr>
          <w:rFonts w:eastAsia="仿宋_GB2312"/>
          <w:sz w:val="32"/>
          <w:szCs w:val="30"/>
        </w:rPr>
      </w:pPr>
      <w:r>
        <w:rPr>
          <w:rFonts w:eastAsia="仿宋_GB2312"/>
          <w:sz w:val="32"/>
          <w:szCs w:val="30"/>
        </w:rPr>
        <w:t>（三）发行人上市后认购参与战略配售的投资者管理的证券投资基金；</w:t>
      </w:r>
    </w:p>
    <w:p w14:paraId="2DDB9132">
      <w:pPr>
        <w:pStyle w:val="16"/>
        <w:spacing w:line="560" w:lineRule="exact"/>
        <w:ind w:firstLine="640"/>
        <w:contextualSpacing/>
        <w:rPr>
          <w:rFonts w:eastAsia="仿宋_GB2312"/>
          <w:sz w:val="32"/>
          <w:szCs w:val="30"/>
        </w:rPr>
      </w:pPr>
      <w:r>
        <w:rPr>
          <w:rFonts w:eastAsia="仿宋_GB2312"/>
          <w:sz w:val="32"/>
          <w:szCs w:val="30"/>
        </w:rPr>
        <w:t>（四）发行人承诺在参与战略配售的投资者获配证券的限售期内，委任与该投资者存在关联关系的人员担任发行人的董事、监事及高级管理人员，但发行人的高级管理人员与核心员工设立专项资产管理计划参与战略配售的除外；</w:t>
      </w:r>
    </w:p>
    <w:p w14:paraId="3D8A3F7B">
      <w:pPr>
        <w:pStyle w:val="16"/>
        <w:spacing w:line="560" w:lineRule="exact"/>
        <w:ind w:firstLine="640"/>
        <w:contextualSpacing/>
        <w:rPr>
          <w:rFonts w:eastAsia="仿宋_GB2312"/>
          <w:sz w:val="32"/>
          <w:szCs w:val="30"/>
        </w:rPr>
      </w:pPr>
      <w:r>
        <w:rPr>
          <w:rFonts w:eastAsia="仿宋_GB2312"/>
          <w:sz w:val="32"/>
          <w:szCs w:val="30"/>
        </w:rPr>
        <w:t>（五）除本细则第四十一条第三项规定的情形外，参与战略配售的投资者使用非自有资金认购发行人证券，或者存在接受其他投资者委托或委托其他投资者参与本次战略配售的情形；</w:t>
      </w:r>
    </w:p>
    <w:p w14:paraId="521A44EF">
      <w:pPr>
        <w:pStyle w:val="16"/>
        <w:spacing w:line="560" w:lineRule="exact"/>
        <w:ind w:firstLine="640"/>
        <w:contextualSpacing/>
        <w:rPr>
          <w:rFonts w:eastAsia="仿宋_GB2312"/>
          <w:sz w:val="32"/>
          <w:szCs w:val="30"/>
        </w:rPr>
      </w:pPr>
      <w:r>
        <w:rPr>
          <w:rFonts w:eastAsia="仿宋_GB2312"/>
          <w:sz w:val="32"/>
          <w:szCs w:val="30"/>
        </w:rPr>
        <w:t>（六）其他直接或间接进行利益输送的行为。</w:t>
      </w:r>
    </w:p>
    <w:p w14:paraId="1D6B8F0E">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主承销商应当对参与战略配售的投资者的选取标准、配售资格及是否存在本细则第四十二条规定的禁止性情形进行核查，要求发行人、参与战略配售的投资者就核查事项出具承诺函，并聘请律师事务所出具法律意见书。主承销商应当公开披露核查文件及法律意见书。</w:t>
      </w:r>
    </w:p>
    <w:p w14:paraId="546B7E68">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询价方式的，发行人和主承销商应当在招股意向书和初步询价公告中披露是否采用战略配售方式、战略配售证券数量上限、参与战略配售的投资者选取标准等，并向本所报备战略配售方案，包括参与战略配售的投资者名称、承诺认购金额或者证券数量以及限售期安排等情况。</w:t>
      </w:r>
    </w:p>
    <w:p w14:paraId="23C0ADFB">
      <w:pPr>
        <w:pStyle w:val="16"/>
        <w:spacing w:line="560" w:lineRule="exact"/>
        <w:ind w:firstLine="640"/>
        <w:contextualSpacing/>
        <w:rPr>
          <w:rFonts w:eastAsia="仿宋_GB2312"/>
          <w:sz w:val="32"/>
          <w:szCs w:val="30"/>
        </w:rPr>
      </w:pPr>
      <w:r>
        <w:rPr>
          <w:rFonts w:eastAsia="仿宋_GB2312"/>
          <w:sz w:val="32"/>
          <w:szCs w:val="30"/>
        </w:rPr>
        <w:t>发行人和主承销商应当在发行公告中披露参与战略配售的投资者名称、承诺认购的证券数量以及限售期安排等。</w:t>
      </w:r>
    </w:p>
    <w:p w14:paraId="6E9DA422">
      <w:pPr>
        <w:pStyle w:val="16"/>
        <w:spacing w:line="560" w:lineRule="exact"/>
        <w:ind w:firstLine="640"/>
        <w:contextualSpacing/>
        <w:rPr>
          <w:rFonts w:eastAsia="仿宋_GB2312"/>
          <w:sz w:val="32"/>
          <w:szCs w:val="30"/>
        </w:rPr>
      </w:pPr>
      <w:r>
        <w:rPr>
          <w:rFonts w:eastAsia="仿宋_GB2312"/>
          <w:sz w:val="32"/>
          <w:szCs w:val="30"/>
        </w:rPr>
        <w:t>发行人和主承销商应当在网下发行初步配售结果及网上中签结果公告中披露战略配售最终获配的投资者名称、证券数量以及限售期安排等。</w:t>
      </w:r>
    </w:p>
    <w:p w14:paraId="281F05AD">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的高级管理人员与核心员工设立专项资产管理计划参与本次发行战略配售的，应当在招股意向书和初步询价公告中披露专项资产管理计划的具体名称、设立时间、募集资金规模、管理人、实际支配主体以及参与人姓名、职务与比例等。</w:t>
      </w:r>
    </w:p>
    <w:p w14:paraId="4B5744D3">
      <w:pPr>
        <w:pStyle w:val="16"/>
        <w:spacing w:line="560" w:lineRule="exact"/>
        <w:ind w:firstLine="640"/>
        <w:contextualSpacing/>
        <w:rPr>
          <w:rFonts w:eastAsia="仿宋_GB2312"/>
          <w:sz w:val="32"/>
          <w:szCs w:val="30"/>
        </w:rPr>
      </w:pPr>
      <w:r>
        <w:rPr>
          <w:rFonts w:eastAsia="仿宋_GB2312"/>
          <w:sz w:val="32"/>
          <w:szCs w:val="30"/>
        </w:rPr>
        <w:t>前款规定的专项资产管理计划的实际支配主体为发行人高级管理人员的，该专项资产管理计划所获配的股份不计入社会公众股东持有的股份。</w:t>
      </w:r>
    </w:p>
    <w:p w14:paraId="04A114D7">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参与战略配售的投资者不得参与本次公开发行证券网上发行与网下发行，但证券投资基金管理人管理的未参与战略配售的公募基金、社保基金、养老金、年金基金除外。</w:t>
      </w:r>
    </w:p>
    <w:p w14:paraId="4B187C17">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首次公开发行证券采用直接定价方式的，参与战略配售的投资者应当在发行人和主承销商启动发行工作前足额缴纳认购资金；采用询价方式的，参与战略配售的投资者应当在询价日前足额缴纳认购资金。</w:t>
      </w:r>
    </w:p>
    <w:p w14:paraId="2B820A5E">
      <w:pPr>
        <w:spacing w:line="560" w:lineRule="exact"/>
        <w:contextualSpacing/>
        <w:jc w:val="center"/>
        <w:rPr>
          <w:rFonts w:eastAsia="黑体"/>
          <w:b w:val="0"/>
          <w:sz w:val="32"/>
          <w:szCs w:val="30"/>
        </w:rPr>
      </w:pPr>
      <w:r>
        <w:rPr>
          <w:rFonts w:hAnsi="黑体" w:eastAsia="黑体"/>
          <w:b w:val="0"/>
          <w:sz w:val="32"/>
          <w:szCs w:val="30"/>
        </w:rPr>
        <w:t>第四章</w:t>
      </w:r>
      <w:r>
        <w:rPr>
          <w:rFonts w:eastAsia="黑体"/>
          <w:b w:val="0"/>
          <w:sz w:val="32"/>
          <w:szCs w:val="30"/>
        </w:rPr>
        <w:t xml:space="preserve">  </w:t>
      </w:r>
      <w:r>
        <w:rPr>
          <w:rFonts w:hAnsi="黑体" w:eastAsia="黑体"/>
          <w:b w:val="0"/>
          <w:sz w:val="32"/>
          <w:szCs w:val="30"/>
        </w:rPr>
        <w:t>科创板保荐人相关子公司跟投</w:t>
      </w:r>
    </w:p>
    <w:p w14:paraId="34EB0E93">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科创板试行保荐人相关子公司跟投制度。发行人的保荐人通过依法设立的另类投资子公司或者实际控制该保荐人的证券公司依法设立的另类投资子公司参与发行人首次公开发行战略配售，并对获配证券设定限售期。</w:t>
      </w:r>
    </w:p>
    <w:p w14:paraId="5FA6D412">
      <w:pPr>
        <w:spacing w:line="560" w:lineRule="exact"/>
        <w:ind w:firstLine="640" w:firstLineChars="200"/>
        <w:contextualSpacing/>
        <w:rPr>
          <w:rFonts w:eastAsia="仿宋_GB2312"/>
          <w:sz w:val="32"/>
          <w:szCs w:val="30"/>
        </w:rPr>
      </w:pPr>
      <w:r>
        <w:rPr>
          <w:rFonts w:eastAsia="仿宋_GB2312"/>
          <w:sz w:val="32"/>
          <w:szCs w:val="30"/>
        </w:rPr>
        <w:t>保荐人通过中国证监会和本所认可的其他方式履行前款规定的，应当遵守本细则关于保荐人相关子公司跟投的规定和监管要求。</w:t>
      </w:r>
    </w:p>
    <w:p w14:paraId="76D490CF">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采用联合保荐方式的，参与联合保荐的保荐人应当按照本细则规定分别实施保荐人相关子公司跟投，并披露具体安排。</w:t>
      </w:r>
    </w:p>
    <w:p w14:paraId="07D30BE2">
      <w:pPr>
        <w:pStyle w:val="16"/>
        <w:numPr>
          <w:ilvl w:val="0"/>
          <w:numId w:val="1"/>
        </w:numPr>
        <w:spacing w:line="560" w:lineRule="exact"/>
        <w:ind w:left="0" w:firstLine="640" w:firstLineChars="0"/>
        <w:contextualSpacing/>
        <w:rPr>
          <w:rFonts w:eastAsia="仿宋_GB2312"/>
          <w:sz w:val="32"/>
          <w:szCs w:val="30"/>
        </w:rPr>
      </w:pPr>
      <w:r>
        <w:rPr>
          <w:rFonts w:eastAsia="仿宋_GB2312"/>
          <w:sz w:val="32"/>
          <w:szCs w:val="30"/>
        </w:rPr>
        <w:t xml:space="preserve"> 保荐人相关子公司跟投使用的资金应当为自有资金，中国证监会另有规定的除外。</w:t>
      </w:r>
    </w:p>
    <w:p w14:paraId="6A623C43">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参与配售的保荐人相关子公司应当事先与发行人签署配售协议，承诺按照证券发行价格认购发行人首次公开发行证券数量2%至5%的证券，具体比例根据发行人首次公开发行证券的规模分档确定：</w:t>
      </w:r>
    </w:p>
    <w:p w14:paraId="4442F9AC">
      <w:pPr>
        <w:spacing w:line="560" w:lineRule="exact"/>
        <w:ind w:firstLine="576" w:firstLineChars="180"/>
        <w:contextualSpacing/>
        <w:rPr>
          <w:rFonts w:eastAsia="仿宋_GB2312"/>
          <w:sz w:val="32"/>
          <w:szCs w:val="30"/>
        </w:rPr>
      </w:pPr>
      <w:r>
        <w:rPr>
          <w:rFonts w:eastAsia="仿宋_GB2312"/>
          <w:sz w:val="32"/>
          <w:szCs w:val="30"/>
        </w:rPr>
        <w:t>（一）发行规模不足10亿元的，跟投比例为5%，但不超过人民币4000万元；</w:t>
      </w:r>
    </w:p>
    <w:p w14:paraId="5700270D">
      <w:pPr>
        <w:spacing w:line="560" w:lineRule="exact"/>
        <w:ind w:firstLine="576" w:firstLineChars="180"/>
        <w:contextualSpacing/>
        <w:rPr>
          <w:rFonts w:eastAsia="仿宋_GB2312"/>
          <w:sz w:val="32"/>
          <w:szCs w:val="30"/>
        </w:rPr>
      </w:pPr>
      <w:r>
        <w:rPr>
          <w:rFonts w:eastAsia="仿宋_GB2312"/>
          <w:sz w:val="32"/>
          <w:szCs w:val="30"/>
        </w:rPr>
        <w:t>（二）发行规模10亿元以上、不足20亿元的，跟投比例为4%，但不超过人民币6000万元；</w:t>
      </w:r>
    </w:p>
    <w:p w14:paraId="1F91F075">
      <w:pPr>
        <w:spacing w:line="560" w:lineRule="exact"/>
        <w:ind w:firstLine="576" w:firstLineChars="180"/>
        <w:contextualSpacing/>
        <w:rPr>
          <w:rFonts w:eastAsia="仿宋_GB2312"/>
          <w:sz w:val="32"/>
          <w:szCs w:val="30"/>
        </w:rPr>
      </w:pPr>
      <w:r>
        <w:rPr>
          <w:rFonts w:eastAsia="仿宋_GB2312"/>
          <w:sz w:val="32"/>
          <w:szCs w:val="30"/>
        </w:rPr>
        <w:t>（三）发行规模20亿元以上、不足50亿元的，跟投比例为3%，但不超过人民币1亿元；</w:t>
      </w:r>
    </w:p>
    <w:p w14:paraId="0FDFF6A9">
      <w:pPr>
        <w:spacing w:line="560" w:lineRule="exact"/>
        <w:ind w:firstLine="576" w:firstLineChars="180"/>
        <w:contextualSpacing/>
        <w:rPr>
          <w:rFonts w:eastAsia="仿宋_GB2312"/>
          <w:sz w:val="32"/>
          <w:szCs w:val="30"/>
        </w:rPr>
      </w:pPr>
      <w:r>
        <w:rPr>
          <w:rFonts w:eastAsia="仿宋_GB2312"/>
          <w:sz w:val="32"/>
          <w:szCs w:val="30"/>
        </w:rPr>
        <w:t>（四）发行规模50亿元以上的，跟投比例为2%，但不超过人民币10亿元。</w:t>
      </w:r>
    </w:p>
    <w:p w14:paraId="3985AE98">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参与配售的保荐人相关子公司应当承诺获得本次配售的证券持有期限为自发行人首次公开发行并上市之日起24个月。</w:t>
      </w:r>
    </w:p>
    <w:p w14:paraId="772524C0">
      <w:pPr>
        <w:spacing w:line="560" w:lineRule="exact"/>
        <w:ind w:firstLine="576" w:firstLineChars="180"/>
        <w:contextualSpacing/>
        <w:rPr>
          <w:rFonts w:eastAsia="仿宋_GB2312"/>
          <w:sz w:val="32"/>
          <w:szCs w:val="30"/>
        </w:rPr>
      </w:pPr>
      <w:r>
        <w:rPr>
          <w:rFonts w:eastAsia="仿宋_GB2312"/>
          <w:sz w:val="32"/>
          <w:szCs w:val="30"/>
        </w:rPr>
        <w:t>限售期届满后，参与配售的保荐人相关子公司对获配证券的减持适用中国证监会和本所关于股份减持的有关规定。</w:t>
      </w:r>
    </w:p>
    <w:p w14:paraId="12A28785">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保荐人相关子公司未按照本细则及其作出的承诺实施跟投的，发行人应当中止本次发行，并及时进行披露。中止发行后，符合本细则第二十条第三款规定的，可重新启动发行。</w:t>
      </w:r>
    </w:p>
    <w:p w14:paraId="25CFB7DD">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首次公开发行证券采用直接定价方式的，发行人和主承销商应当在招股说明书中披露向参与配售的保荐人相关子公司配售的证券总量、认购数量、占本次发行证券数量的比例以及持有期限等信息；采用询价方式的，发行人和主承销商应当在招股意向书和初步询价公告中披露前述信息。</w:t>
      </w:r>
    </w:p>
    <w:p w14:paraId="36F03FAA">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参与配售的保荐人相关子公司应当开立专用证券账户存放获配证券，并与其自营、资管等其他业务的证券有效隔离、分别管理、分别记账，不得与其他业务进行混合操作。</w:t>
      </w:r>
    </w:p>
    <w:p w14:paraId="31AFB7BF">
      <w:pPr>
        <w:spacing w:line="560" w:lineRule="exact"/>
        <w:ind w:firstLine="640" w:firstLineChars="200"/>
        <w:contextualSpacing/>
        <w:rPr>
          <w:rFonts w:eastAsia="仿宋_GB2312"/>
          <w:sz w:val="32"/>
          <w:szCs w:val="30"/>
        </w:rPr>
      </w:pPr>
      <w:r>
        <w:rPr>
          <w:rFonts w:eastAsia="仿宋_GB2312"/>
          <w:sz w:val="32"/>
          <w:szCs w:val="30"/>
        </w:rPr>
        <w:t>前款规定的专用证券账户只能用于在限售期届满后卖出或者按照中国证监会及本所有关规定向证券金融公司借出和收回获配证券，不得买入股票或者其他证券。因上市公司实施配股、向原股东优先配售股票或可转换公司债券、转增股本的除外。</w:t>
      </w:r>
    </w:p>
    <w:p w14:paraId="0333990A">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保荐人不得向发行人、发行人控股股东及其关联方收取除按照行业规范履行保荐承销职责相关费用以外的其他费用。</w:t>
      </w:r>
    </w:p>
    <w:p w14:paraId="38CFEE83">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参与配售的保荐人相关子公司应当承诺，不得利用获配证券取得的股东地位影响发行人正常生产经营，不得在获配证券限售期内谋求发行人控制权。</w:t>
      </w:r>
    </w:p>
    <w:p w14:paraId="0F8F7F83">
      <w:pPr>
        <w:spacing w:line="560" w:lineRule="exact"/>
        <w:contextualSpacing/>
        <w:jc w:val="center"/>
        <w:rPr>
          <w:rFonts w:eastAsia="黑体"/>
          <w:b w:val="0"/>
          <w:sz w:val="32"/>
          <w:szCs w:val="30"/>
        </w:rPr>
      </w:pPr>
      <w:r>
        <w:rPr>
          <w:rFonts w:hAnsi="黑体" w:eastAsia="黑体"/>
          <w:b w:val="0"/>
          <w:sz w:val="32"/>
          <w:szCs w:val="30"/>
        </w:rPr>
        <w:t>第五章</w:t>
      </w:r>
      <w:r>
        <w:rPr>
          <w:rFonts w:eastAsia="黑体"/>
          <w:b w:val="0"/>
          <w:sz w:val="32"/>
          <w:szCs w:val="30"/>
        </w:rPr>
        <w:t xml:space="preserve">  </w:t>
      </w:r>
      <w:r>
        <w:rPr>
          <w:rFonts w:hAnsi="黑体" w:eastAsia="黑体"/>
          <w:b w:val="0"/>
          <w:sz w:val="32"/>
          <w:szCs w:val="30"/>
        </w:rPr>
        <w:t>超额配售选择权</w:t>
      </w:r>
    </w:p>
    <w:p w14:paraId="54A9714F">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和主承销商可以在发行方案中采用超额配售选择权。采用超额配售选择权的，发行人应授予主承销商超额配售证券并使用超额配售证券募集的资金从二级市场竞价交易购买发行人证券的权利。通过联合主承销商发行证券的，发行人应授予其中1家主承销商前述权利。</w:t>
      </w:r>
    </w:p>
    <w:p w14:paraId="16F29BC0">
      <w:pPr>
        <w:pStyle w:val="16"/>
        <w:spacing w:line="560" w:lineRule="exact"/>
        <w:ind w:firstLine="640"/>
        <w:contextualSpacing/>
        <w:rPr>
          <w:rFonts w:eastAsia="仿宋_GB2312"/>
          <w:sz w:val="32"/>
          <w:szCs w:val="30"/>
        </w:rPr>
      </w:pPr>
      <w:r>
        <w:rPr>
          <w:rFonts w:eastAsia="仿宋_GB2312"/>
          <w:sz w:val="32"/>
          <w:szCs w:val="30"/>
        </w:rPr>
        <w:t>主承销商与发行人签订的承销协议中，应当明确发行人对主承销商采用超额配售选择权的授权，以及获授权的主承销商的相应责任。</w:t>
      </w:r>
    </w:p>
    <w:p w14:paraId="153E4A77">
      <w:pPr>
        <w:pStyle w:val="16"/>
        <w:spacing w:line="560" w:lineRule="exact"/>
        <w:ind w:firstLine="640"/>
        <w:contextualSpacing/>
        <w:rPr>
          <w:rFonts w:eastAsia="仿宋_GB2312"/>
          <w:sz w:val="32"/>
          <w:szCs w:val="30"/>
        </w:rPr>
      </w:pPr>
      <w:r>
        <w:rPr>
          <w:rFonts w:eastAsia="仿宋_GB2312"/>
          <w:sz w:val="32"/>
          <w:szCs w:val="30"/>
        </w:rPr>
        <w:t>获授权的主承销商，应当勤勉尽责，建立独立的投资决策流程及相关防火墙制度，严格执行内部控制制度，有效防范利益输送和利益冲突。</w:t>
      </w:r>
    </w:p>
    <w:p w14:paraId="74CADA85">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获授权的主承销商应当向中国证券登记结算有限责任公司（以下简称中国结算）上海分公司申请开立使用超额配售证券募集的资金买入证券的专门账户（以下简称超额配售选择权专门账户），并向本所和中国结算上海分公司提交授权委托书及授权代表的有效签字样本。所涉及的开户、清算、交收等事项，应当按照本所和中国结算相关规则办理。</w:t>
      </w:r>
    </w:p>
    <w:p w14:paraId="2713A6D6">
      <w:pPr>
        <w:spacing w:line="560" w:lineRule="exact"/>
        <w:ind w:firstLine="640" w:firstLineChars="200"/>
        <w:contextualSpacing/>
        <w:rPr>
          <w:rFonts w:eastAsia="仿宋_GB2312"/>
          <w:sz w:val="32"/>
          <w:szCs w:val="30"/>
        </w:rPr>
      </w:pPr>
      <w:r>
        <w:rPr>
          <w:rFonts w:eastAsia="仿宋_GB2312"/>
          <w:sz w:val="32"/>
          <w:szCs w:val="30"/>
        </w:rPr>
        <w:t>获授权的主承销商应当将超额配售证券募集的资金存入其在商业银行开设的独立账户。获授权的主承销商在发行人证券上市之日起30个自然日内，不得使用该账户资金外的其他资金或者通过他人账户交易发行人证券。</w:t>
      </w:r>
    </w:p>
    <w:p w14:paraId="6D4129F1">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和主承销商应当审慎评估采用超额配售选择权的可行性、预期目标等，并在预先披露的招股说明书中明确是否采用超额配售选择权以及采用超额配售选择权发行证券的数量上限。采用超额配售选择权发行证券数量不得超过首次公开发行证券数量的15%。</w:t>
      </w:r>
    </w:p>
    <w:p w14:paraId="4C567B02">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采用超额配售选择权的，应当在招股意向书和招股说明书中披露超额配售选择权实施方案，包括实施目标、操作策略、可能发生的情形以及预期达到的效果等；在发行公告中披露全额行使超额配售选择权拟发行证券的具体数量。</w:t>
      </w:r>
    </w:p>
    <w:p w14:paraId="6CA6B5E9">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采用超额配售选择权的主承销商，可以在征集投资者认购意向时，与投资者达成预售拟行使超额配售选择权所对应证券的协议，明确投资者预先付款并同意向其延期交付证券。主承销商应当将延期交付证券的协议报本所和中国结算上海分公司备案。</w:t>
      </w:r>
    </w:p>
    <w:p w14:paraId="7E172AF6">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发行人证券上市之日起30个自然日内，获授权的主承销商有权使用超额配售证券募集的资金，以《上海证券交易所交易规则》规定的竞价交易方式购买发行人证券，申报买入应符合下列规定：</w:t>
      </w:r>
    </w:p>
    <w:p w14:paraId="3E19F0B0">
      <w:pPr>
        <w:pStyle w:val="16"/>
        <w:spacing w:line="560" w:lineRule="exact"/>
        <w:ind w:firstLine="640" w:firstLineChars="0"/>
        <w:contextualSpacing/>
        <w:rPr>
          <w:rFonts w:eastAsia="仿宋_GB2312"/>
          <w:sz w:val="32"/>
          <w:szCs w:val="30"/>
        </w:rPr>
      </w:pPr>
      <w:r>
        <w:rPr>
          <w:rFonts w:eastAsia="仿宋_GB2312"/>
          <w:sz w:val="32"/>
          <w:szCs w:val="30"/>
        </w:rPr>
        <w:t>（一）在开盘集合竞价阶段申报的，申报买入价格不得超过本次发行的发行价，且不得超过即时行情显示的前收盘价格；</w:t>
      </w:r>
    </w:p>
    <w:p w14:paraId="3530FE52">
      <w:pPr>
        <w:pStyle w:val="16"/>
        <w:spacing w:line="560" w:lineRule="exact"/>
        <w:ind w:firstLine="640" w:firstLineChars="0"/>
        <w:contextualSpacing/>
        <w:rPr>
          <w:rFonts w:eastAsia="仿宋_GB2312"/>
          <w:sz w:val="32"/>
          <w:szCs w:val="30"/>
        </w:rPr>
      </w:pPr>
      <w:r>
        <w:rPr>
          <w:rFonts w:eastAsia="仿宋_GB2312"/>
          <w:sz w:val="32"/>
          <w:szCs w:val="30"/>
        </w:rPr>
        <w:t>（二）发行人证券的市场交易价格低于或者等于发行价格的，可以在连续竞价阶段申报，申报买入价格不得超过本次发行的发行价；</w:t>
      </w:r>
    </w:p>
    <w:p w14:paraId="78439854">
      <w:pPr>
        <w:pStyle w:val="16"/>
        <w:spacing w:line="560" w:lineRule="exact"/>
        <w:ind w:firstLine="640" w:firstLineChars="0"/>
        <w:contextualSpacing/>
        <w:rPr>
          <w:rFonts w:eastAsia="仿宋_GB2312"/>
          <w:sz w:val="32"/>
          <w:szCs w:val="30"/>
        </w:rPr>
      </w:pPr>
      <w:r>
        <w:rPr>
          <w:rFonts w:eastAsia="仿宋_GB2312"/>
          <w:sz w:val="32"/>
          <w:szCs w:val="30"/>
        </w:rPr>
        <w:t>（三）在收盘集合竞价阶段申报的，申报买入价格不得超过本次发行的发行价，且不得超过最新成交价格。</w:t>
      </w:r>
    </w:p>
    <w:p w14:paraId="350BF750">
      <w:pPr>
        <w:pStyle w:val="16"/>
        <w:spacing w:line="560" w:lineRule="exact"/>
        <w:ind w:firstLine="640"/>
        <w:contextualSpacing/>
        <w:rPr>
          <w:rFonts w:eastAsia="仿宋_GB2312"/>
          <w:sz w:val="32"/>
          <w:szCs w:val="30"/>
        </w:rPr>
      </w:pPr>
      <w:r>
        <w:rPr>
          <w:rFonts w:eastAsia="仿宋_GB2312"/>
          <w:sz w:val="32"/>
          <w:szCs w:val="30"/>
        </w:rPr>
        <w:t>主承销商使用超额配售证券募集的资金购买发行人证券，还应当遵守法律法规及本所业务规则关于交易行为的规定和监管要求。主承销商按照前款规定以竞价交易方式买入的证券不得卖出。</w:t>
      </w:r>
    </w:p>
    <w:p w14:paraId="0F439F87">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发行人证券上市之日起30个自然日内，获授权的主承销商未购买发行人证券或者购买发行人证券数量未达到全额行使超额配售选择权拟发行证券数量的，可以要求发行人按照发行价格增发证券。</w:t>
      </w:r>
    </w:p>
    <w:p w14:paraId="75FAB09E">
      <w:pPr>
        <w:pStyle w:val="16"/>
        <w:spacing w:line="560" w:lineRule="exact"/>
        <w:ind w:firstLine="640" w:firstLineChars="0"/>
        <w:contextualSpacing/>
        <w:rPr>
          <w:rFonts w:eastAsia="仿宋_GB2312"/>
          <w:sz w:val="32"/>
          <w:szCs w:val="30"/>
        </w:rPr>
      </w:pPr>
      <w:r>
        <w:rPr>
          <w:rFonts w:eastAsia="仿宋_GB2312"/>
          <w:sz w:val="32"/>
          <w:szCs w:val="30"/>
        </w:rPr>
        <w:t>主承销商按照本细则第六十三条的规定，以竞价交易方式购买的发行人证券与要求发行人增发的证券之和，不得超过发行公告中披露的全额行使超额配售选择权拟发行证券数量。</w:t>
      </w:r>
    </w:p>
    <w:p w14:paraId="463B4A3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获授权的主承销商以竞价交易方式购买的发行人证券应当存入超额配售选择权专门账户。</w:t>
      </w:r>
    </w:p>
    <w:p w14:paraId="754714B6">
      <w:pPr>
        <w:spacing w:line="560" w:lineRule="exact"/>
        <w:ind w:firstLine="640" w:firstLineChars="200"/>
        <w:contextualSpacing/>
        <w:rPr>
          <w:rFonts w:eastAsia="仿宋_GB2312"/>
          <w:sz w:val="32"/>
          <w:szCs w:val="30"/>
        </w:rPr>
      </w:pPr>
      <w:r>
        <w:rPr>
          <w:rFonts w:eastAsia="仿宋_GB2312"/>
          <w:sz w:val="32"/>
          <w:szCs w:val="30"/>
        </w:rPr>
        <w:t>在超额配售选择权行使期届满或者累计购回证券数量达到采用超额配售选择权发行证券数量限额的5个工作日内，获授权的主承销商应当根据前述情况，向本所和中国结算上海分公司提出申请并提供相应材料，并将超额配售选择权专门账户上的证券和要求发行人增发的证券向同意延期交付证券的投资者交付。</w:t>
      </w:r>
    </w:p>
    <w:p w14:paraId="4C939DBF">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主承销商应当在超额配售选择权行使期届满或者累计购回证券数量达到采用超额配售选择权发行证券数量限额的5个工作日内，将应付给发行人的资金（如有）支付给发行人，应付资金按下列公式计算：</w:t>
      </w:r>
    </w:p>
    <w:p w14:paraId="23244369">
      <w:pPr>
        <w:spacing w:line="560" w:lineRule="exact"/>
        <w:ind w:firstLine="640" w:firstLineChars="200"/>
        <w:contextualSpacing/>
        <w:rPr>
          <w:rFonts w:eastAsia="仿宋_GB2312"/>
          <w:sz w:val="32"/>
          <w:szCs w:val="30"/>
        </w:rPr>
      </w:pPr>
      <w:r>
        <w:rPr>
          <w:rFonts w:eastAsia="仿宋_GB2312"/>
          <w:sz w:val="32"/>
          <w:szCs w:val="30"/>
        </w:rPr>
        <w:t>发行人因行使超额配售选择权的募集资金＝发行价×（超额配售选择权累计行使数量-主承销商从二级市场买入发行人证券的数量）－因行使超额配售选择权而发行证券的承销费用。</w:t>
      </w:r>
    </w:p>
    <w:p w14:paraId="0E46D36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获授权的主承销商使用超额配售证券募集的资金从二级市场购入证券的，在超额配售选择权行使期届满或者累计购回证券数量达到采用超额配售选择权发行证券数量限额的5个工作日内，将除购回证券使用的资金及划转给发行人增发证券部分的资金（如有）外的剩余资金，向中国证券投资者保护基金有限责任公司交付，纳入证券投资者保护基金。</w:t>
      </w:r>
    </w:p>
    <w:p w14:paraId="7322756A">
      <w:pPr>
        <w:spacing w:line="560" w:lineRule="exact"/>
        <w:ind w:firstLine="640" w:firstLineChars="200"/>
        <w:contextualSpacing/>
        <w:rPr>
          <w:rFonts w:eastAsia="仿宋_GB2312"/>
          <w:sz w:val="32"/>
          <w:szCs w:val="30"/>
        </w:rPr>
      </w:pPr>
      <w:r>
        <w:rPr>
          <w:rFonts w:eastAsia="仿宋_GB2312"/>
          <w:sz w:val="32"/>
          <w:szCs w:val="30"/>
        </w:rPr>
        <w:t>使用超额配售证券募集的资金从二级市场购买发行人证券所产生的费用由主承销商承担。</w:t>
      </w:r>
    </w:p>
    <w:p w14:paraId="66E1A13E">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在超额配售选择权行使期届满或者累计购回证券数量达到采用超额配售选择权发行证券数量限额的2个工作日内，发行人与获授权的主承销商应当披露下列情况：</w:t>
      </w:r>
    </w:p>
    <w:p w14:paraId="2B610EC3">
      <w:pPr>
        <w:spacing w:line="560" w:lineRule="exact"/>
        <w:ind w:firstLine="640" w:firstLineChars="200"/>
        <w:contextualSpacing/>
        <w:rPr>
          <w:rFonts w:eastAsia="仿宋_GB2312"/>
          <w:sz w:val="32"/>
          <w:szCs w:val="30"/>
        </w:rPr>
      </w:pPr>
      <w:r>
        <w:rPr>
          <w:rFonts w:eastAsia="仿宋_GB2312"/>
          <w:sz w:val="32"/>
          <w:szCs w:val="30"/>
        </w:rPr>
        <w:t>（一）超额配售选择权行使期届满或者累计购回证券数量达到采用超额配售选择权发行证券数量限额的日期；</w:t>
      </w:r>
    </w:p>
    <w:p w14:paraId="1D661C73">
      <w:pPr>
        <w:spacing w:line="560" w:lineRule="exact"/>
        <w:ind w:firstLine="640" w:firstLineChars="200"/>
        <w:contextualSpacing/>
        <w:rPr>
          <w:rFonts w:eastAsia="仿宋_GB2312"/>
          <w:sz w:val="32"/>
          <w:szCs w:val="30"/>
        </w:rPr>
      </w:pPr>
      <w:r>
        <w:rPr>
          <w:rFonts w:eastAsia="仿宋_GB2312"/>
          <w:sz w:val="32"/>
          <w:szCs w:val="30"/>
        </w:rPr>
        <w:t>（二）超额配售选择权实施情况是否合法、合规，是否符合所披露的有关超额配售选择权的实施方案要求，是否实现预期达到的效果；</w:t>
      </w:r>
    </w:p>
    <w:p w14:paraId="15F62DF7">
      <w:pPr>
        <w:spacing w:line="560" w:lineRule="exact"/>
        <w:ind w:firstLine="640" w:firstLineChars="200"/>
        <w:contextualSpacing/>
        <w:rPr>
          <w:rFonts w:eastAsia="仿宋_GB2312"/>
          <w:sz w:val="32"/>
          <w:szCs w:val="30"/>
        </w:rPr>
      </w:pPr>
      <w:r>
        <w:rPr>
          <w:rFonts w:eastAsia="仿宋_GB2312"/>
          <w:sz w:val="32"/>
          <w:szCs w:val="30"/>
        </w:rPr>
        <w:t>（三）因行使超额配售选择权而发行的证券数量；如未行使或部分行使，应当说明买入发行人证券的数量及所支付的总金额、平均价格、最高与最低价格；</w:t>
      </w:r>
    </w:p>
    <w:p w14:paraId="04FAF814">
      <w:pPr>
        <w:spacing w:line="560" w:lineRule="exact"/>
        <w:ind w:firstLine="640" w:firstLineChars="200"/>
        <w:contextualSpacing/>
        <w:rPr>
          <w:rFonts w:eastAsia="仿宋_GB2312"/>
          <w:sz w:val="32"/>
          <w:szCs w:val="30"/>
        </w:rPr>
      </w:pPr>
      <w:r>
        <w:rPr>
          <w:rFonts w:eastAsia="仿宋_GB2312"/>
          <w:sz w:val="32"/>
          <w:szCs w:val="30"/>
        </w:rPr>
        <w:t>（四）发行人本次筹资总金额；</w:t>
      </w:r>
    </w:p>
    <w:p w14:paraId="7E494E7E">
      <w:pPr>
        <w:spacing w:line="560" w:lineRule="exact"/>
        <w:ind w:firstLine="640" w:firstLineChars="200"/>
        <w:contextualSpacing/>
        <w:rPr>
          <w:rFonts w:eastAsia="仿宋_GB2312"/>
          <w:sz w:val="32"/>
          <w:szCs w:val="30"/>
        </w:rPr>
      </w:pPr>
      <w:r>
        <w:rPr>
          <w:rFonts w:eastAsia="仿宋_GB2312"/>
          <w:sz w:val="32"/>
          <w:szCs w:val="30"/>
        </w:rPr>
        <w:t>（五）本所要求披露的其他信息。</w:t>
      </w:r>
    </w:p>
    <w:p w14:paraId="53F3BF9E">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获授权的主承销商应当保留使用超额配售证券募集资金买入证券的完整记录，保存时间不得少于10年。所保存的记录应当及时更新下列使用超额配售证券募集资金的有关信息：</w:t>
      </w:r>
    </w:p>
    <w:p w14:paraId="2338DD55">
      <w:pPr>
        <w:spacing w:line="560" w:lineRule="exact"/>
        <w:ind w:firstLine="480" w:firstLineChars="150"/>
        <w:contextualSpacing/>
        <w:rPr>
          <w:rFonts w:eastAsia="仿宋_GB2312"/>
          <w:sz w:val="32"/>
          <w:szCs w:val="30"/>
        </w:rPr>
      </w:pPr>
      <w:r>
        <w:rPr>
          <w:rFonts w:eastAsia="仿宋_GB2312"/>
          <w:sz w:val="32"/>
          <w:szCs w:val="30"/>
        </w:rPr>
        <w:t>（一）每次申报买入证券的时间、价格与数量；</w:t>
      </w:r>
    </w:p>
    <w:p w14:paraId="10E4BFCF">
      <w:pPr>
        <w:spacing w:line="560" w:lineRule="exact"/>
        <w:ind w:firstLine="480" w:firstLineChars="150"/>
        <w:contextualSpacing/>
        <w:rPr>
          <w:rFonts w:eastAsia="仿宋_GB2312"/>
          <w:sz w:val="32"/>
          <w:szCs w:val="30"/>
        </w:rPr>
      </w:pPr>
      <w:r>
        <w:rPr>
          <w:rFonts w:eastAsia="仿宋_GB2312"/>
          <w:sz w:val="32"/>
          <w:szCs w:val="30"/>
        </w:rPr>
        <w:t>（二）每次申报买入证券的价格确定情况；</w:t>
      </w:r>
    </w:p>
    <w:p w14:paraId="2E3B5EF3">
      <w:pPr>
        <w:spacing w:line="560" w:lineRule="exact"/>
        <w:ind w:firstLine="480" w:firstLineChars="150"/>
        <w:contextualSpacing/>
        <w:rPr>
          <w:rFonts w:eastAsia="仿宋_GB2312"/>
          <w:sz w:val="32"/>
          <w:szCs w:val="30"/>
        </w:rPr>
      </w:pPr>
      <w:r>
        <w:rPr>
          <w:rFonts w:eastAsia="仿宋_GB2312"/>
          <w:sz w:val="32"/>
          <w:szCs w:val="30"/>
        </w:rPr>
        <w:t>（三）买入证券的每笔成交信息，包括成交时间、成交价格、成交数量等。</w:t>
      </w:r>
    </w:p>
    <w:p w14:paraId="3F910FA8">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在全部发行工作完成后10个工作日内，获授权的主承销商应当将超额配售选择权的实施情况以及使用超额配售证券募集资金买入证券的完整记录报本所备案。</w:t>
      </w:r>
    </w:p>
    <w:p w14:paraId="6D760BB5">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本所对获授权的主承销商使用超额配售证券募集的资金申报买入证券的过程进行监控，并对违反本所业务规则的证券交易、信息披露实施自律监管。</w:t>
      </w:r>
    </w:p>
    <w:p w14:paraId="640C3029">
      <w:pPr>
        <w:spacing w:line="560" w:lineRule="exact"/>
        <w:contextualSpacing/>
        <w:jc w:val="center"/>
        <w:rPr>
          <w:rFonts w:eastAsia="黑体"/>
          <w:b w:val="0"/>
          <w:sz w:val="32"/>
          <w:szCs w:val="30"/>
        </w:rPr>
      </w:pPr>
      <w:r>
        <w:rPr>
          <w:rFonts w:hAnsi="黑体" w:eastAsia="黑体"/>
          <w:b w:val="0"/>
          <w:sz w:val="32"/>
          <w:szCs w:val="30"/>
        </w:rPr>
        <w:t>第六章</w:t>
      </w:r>
      <w:r>
        <w:rPr>
          <w:rFonts w:eastAsia="黑体"/>
          <w:b w:val="0"/>
          <w:sz w:val="32"/>
          <w:szCs w:val="30"/>
        </w:rPr>
        <w:t xml:space="preserve">  </w:t>
      </w:r>
      <w:r>
        <w:rPr>
          <w:rFonts w:hAnsi="黑体" w:eastAsia="黑体"/>
          <w:b w:val="0"/>
          <w:sz w:val="32"/>
          <w:szCs w:val="30"/>
        </w:rPr>
        <w:t>自律管理</w:t>
      </w:r>
    </w:p>
    <w:p w14:paraId="2452DD5B">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本所对首次公开发行证券发行与承销的过程实施自律监管，对违反本细则的行为单独或者合并采取监管措施和纪律处分。</w:t>
      </w:r>
    </w:p>
    <w:p w14:paraId="07744B54">
      <w:pPr>
        <w:spacing w:line="560" w:lineRule="exact"/>
        <w:ind w:firstLine="640" w:firstLineChars="200"/>
        <w:contextualSpacing/>
        <w:rPr>
          <w:rFonts w:eastAsia="仿宋_GB2312"/>
          <w:sz w:val="32"/>
          <w:szCs w:val="30"/>
        </w:rPr>
      </w:pPr>
      <w:r>
        <w:rPr>
          <w:rFonts w:eastAsia="仿宋_GB2312"/>
          <w:sz w:val="32"/>
          <w:szCs w:val="30"/>
        </w:rPr>
        <w:t>发行承销涉嫌违法违规或者存在异常情形的，本所可以要求发行人和承销商暂停或中止发行，对相关事项进行调查，并上报中国证监会查处。</w:t>
      </w:r>
    </w:p>
    <w:p w14:paraId="73187495">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本所对发行人及其控股股东和实际控制人、证券公司、证券服务机构、投资者及其直接负责的主管人员和其他直接责任人员等实施日常监管，可以采取下列措施：</w:t>
      </w:r>
    </w:p>
    <w:p w14:paraId="57ED8D1C">
      <w:pPr>
        <w:adjustRightInd w:val="0"/>
        <w:spacing w:line="560" w:lineRule="exact"/>
        <w:ind w:firstLine="640" w:firstLineChars="200"/>
        <w:contextualSpacing/>
        <w:rPr>
          <w:rFonts w:eastAsia="仿宋_GB2312"/>
          <w:sz w:val="32"/>
          <w:szCs w:val="30"/>
        </w:rPr>
      </w:pPr>
      <w:r>
        <w:rPr>
          <w:rFonts w:eastAsia="仿宋_GB2312"/>
          <w:sz w:val="32"/>
          <w:szCs w:val="30"/>
        </w:rPr>
        <w:t>（一）发出通知和函件；</w:t>
      </w:r>
    </w:p>
    <w:p w14:paraId="028987B7">
      <w:pPr>
        <w:adjustRightInd w:val="0"/>
        <w:spacing w:line="560" w:lineRule="exact"/>
        <w:ind w:firstLine="640" w:firstLineChars="200"/>
        <w:contextualSpacing/>
        <w:rPr>
          <w:rFonts w:eastAsia="仿宋_GB2312"/>
          <w:sz w:val="32"/>
          <w:szCs w:val="30"/>
        </w:rPr>
      </w:pPr>
      <w:r>
        <w:rPr>
          <w:rFonts w:eastAsia="仿宋_GB2312"/>
          <w:sz w:val="32"/>
          <w:szCs w:val="30"/>
        </w:rPr>
        <w:t>（二）约见问询；</w:t>
      </w:r>
    </w:p>
    <w:p w14:paraId="53554357">
      <w:pPr>
        <w:adjustRightInd w:val="0"/>
        <w:spacing w:line="560" w:lineRule="exact"/>
        <w:ind w:firstLine="640" w:firstLineChars="200"/>
        <w:contextualSpacing/>
        <w:rPr>
          <w:rFonts w:eastAsia="仿宋_GB2312"/>
          <w:sz w:val="32"/>
          <w:szCs w:val="30"/>
        </w:rPr>
      </w:pPr>
      <w:r>
        <w:rPr>
          <w:rFonts w:eastAsia="仿宋_GB2312"/>
          <w:sz w:val="32"/>
          <w:szCs w:val="30"/>
        </w:rPr>
        <w:t>（三）调阅和检查工作底稿；</w:t>
      </w:r>
    </w:p>
    <w:p w14:paraId="1E1D62D3">
      <w:pPr>
        <w:adjustRightInd w:val="0"/>
        <w:spacing w:line="560" w:lineRule="exact"/>
        <w:ind w:firstLine="640" w:firstLineChars="200"/>
        <w:contextualSpacing/>
        <w:rPr>
          <w:rFonts w:eastAsia="仿宋_GB2312"/>
          <w:sz w:val="32"/>
          <w:szCs w:val="30"/>
        </w:rPr>
      </w:pPr>
      <w:r>
        <w:rPr>
          <w:rFonts w:eastAsia="仿宋_GB2312"/>
          <w:sz w:val="32"/>
          <w:szCs w:val="30"/>
        </w:rPr>
        <w:t>（四）要求对有关事项作出解释和说明；</w:t>
      </w:r>
    </w:p>
    <w:p w14:paraId="7BC0FA1D">
      <w:pPr>
        <w:adjustRightInd w:val="0"/>
        <w:spacing w:line="560" w:lineRule="exact"/>
        <w:ind w:firstLine="640" w:firstLineChars="200"/>
        <w:contextualSpacing/>
        <w:rPr>
          <w:rFonts w:eastAsia="仿宋_GB2312"/>
          <w:sz w:val="32"/>
          <w:szCs w:val="30"/>
        </w:rPr>
      </w:pPr>
      <w:r>
        <w:rPr>
          <w:rFonts w:eastAsia="仿宋_GB2312"/>
          <w:sz w:val="32"/>
          <w:szCs w:val="30"/>
        </w:rPr>
        <w:t>（五）进行调查或者检查；</w:t>
      </w:r>
    </w:p>
    <w:p w14:paraId="41206F7F">
      <w:pPr>
        <w:adjustRightInd w:val="0"/>
        <w:spacing w:line="560" w:lineRule="exact"/>
        <w:ind w:firstLine="640" w:firstLineChars="200"/>
        <w:contextualSpacing/>
        <w:rPr>
          <w:rFonts w:eastAsia="仿宋_GB2312"/>
          <w:sz w:val="32"/>
          <w:szCs w:val="30"/>
        </w:rPr>
      </w:pPr>
      <w:r>
        <w:rPr>
          <w:rFonts w:eastAsia="仿宋_GB2312"/>
          <w:sz w:val="32"/>
          <w:szCs w:val="30"/>
        </w:rPr>
        <w:t>（六）向中国证监会报告异常情况；</w:t>
      </w:r>
    </w:p>
    <w:p w14:paraId="480EF4E2">
      <w:pPr>
        <w:adjustRightInd w:val="0"/>
        <w:spacing w:line="560" w:lineRule="exact"/>
        <w:ind w:firstLine="640" w:firstLineChars="200"/>
        <w:contextualSpacing/>
        <w:rPr>
          <w:rFonts w:eastAsia="仿宋_GB2312"/>
          <w:sz w:val="32"/>
          <w:szCs w:val="30"/>
        </w:rPr>
      </w:pPr>
      <w:r>
        <w:rPr>
          <w:rFonts w:eastAsia="仿宋_GB2312"/>
          <w:sz w:val="32"/>
          <w:szCs w:val="30"/>
        </w:rPr>
        <w:t>（七）其他必要的工作措施。</w:t>
      </w:r>
    </w:p>
    <w:p w14:paraId="49030FD6">
      <w:pPr>
        <w:spacing w:line="560" w:lineRule="exact"/>
        <w:ind w:firstLine="640" w:firstLineChars="200"/>
        <w:contextualSpacing/>
        <w:rPr>
          <w:rFonts w:eastAsia="仿宋_GB2312"/>
          <w:sz w:val="32"/>
          <w:szCs w:val="30"/>
        </w:rPr>
      </w:pPr>
      <w:r>
        <w:rPr>
          <w:rFonts w:eastAsia="仿宋_GB2312"/>
          <w:sz w:val="32"/>
          <w:szCs w:val="30"/>
        </w:rPr>
        <w:t>发行人及其控股股东和实际控制人、证券公司、证券服务机构、投资者及其直接负责的主管人员和其他直接责任人员等在发行承销业务或者询价报价过程中涉嫌违法违规的，本所将相关线索上报中国证监会查处，涉嫌构成犯罪的，由司法机关依法追究刑事责任。</w:t>
      </w:r>
    </w:p>
    <w:p w14:paraId="51DC826D">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发行人及其控股股东和实际控制人、证券公司、证券服务机构、投资者及其直接负责的主管人员和其他直接责任人员等存在下列情形的，本所可以视情节轻重，对其单独或者合并采取监管措施和纪律处分：</w:t>
      </w:r>
    </w:p>
    <w:p w14:paraId="633C3E30">
      <w:pPr>
        <w:spacing w:line="560" w:lineRule="exact"/>
        <w:ind w:firstLine="640" w:firstLineChars="200"/>
        <w:contextualSpacing/>
        <w:rPr>
          <w:rFonts w:eastAsia="仿宋_GB2312"/>
          <w:sz w:val="32"/>
          <w:szCs w:val="30"/>
        </w:rPr>
      </w:pPr>
      <w:r>
        <w:rPr>
          <w:rFonts w:eastAsia="仿宋_GB2312"/>
          <w:sz w:val="32"/>
          <w:szCs w:val="30"/>
        </w:rPr>
        <w:t>（一）证券公司承销擅自公开发行或者变相公开发行的证券；</w:t>
      </w:r>
    </w:p>
    <w:p w14:paraId="0BED51FC">
      <w:pPr>
        <w:spacing w:line="560" w:lineRule="exact"/>
        <w:ind w:firstLine="640" w:firstLineChars="200"/>
        <w:contextualSpacing/>
        <w:rPr>
          <w:rFonts w:eastAsia="仿宋_GB2312"/>
          <w:sz w:val="32"/>
          <w:szCs w:val="30"/>
        </w:rPr>
      </w:pPr>
      <w:r>
        <w:rPr>
          <w:rFonts w:eastAsia="仿宋_GB2312"/>
          <w:sz w:val="32"/>
          <w:szCs w:val="30"/>
        </w:rPr>
        <w:t>（二）在询价、配售活动中进行合谋报价、利益输送或者谋取其他不当利益；</w:t>
      </w:r>
    </w:p>
    <w:p w14:paraId="6B686075">
      <w:pPr>
        <w:spacing w:line="560" w:lineRule="exact"/>
        <w:ind w:firstLine="640" w:firstLineChars="200"/>
        <w:contextualSpacing/>
        <w:rPr>
          <w:rFonts w:eastAsia="仿宋_GB2312"/>
          <w:sz w:val="32"/>
          <w:szCs w:val="30"/>
        </w:rPr>
      </w:pPr>
      <w:r>
        <w:rPr>
          <w:rFonts w:eastAsia="仿宋_GB2312"/>
          <w:sz w:val="32"/>
          <w:szCs w:val="30"/>
        </w:rPr>
        <w:t>（三）参与网下询价的投资者未按照定价决策程序确定报价、存档备查的定价依据无法支持报价结果，或者存在改价理由不充分、与其他投资者报价高度一致等异常情形干扰正常询价秩序；</w:t>
      </w:r>
    </w:p>
    <w:p w14:paraId="2CD02D0B">
      <w:pPr>
        <w:adjustRightInd w:val="0"/>
        <w:spacing w:line="560" w:lineRule="exact"/>
        <w:ind w:firstLine="640" w:firstLineChars="200"/>
        <w:contextualSpacing/>
        <w:rPr>
          <w:rFonts w:eastAsia="仿宋_GB2312"/>
          <w:sz w:val="32"/>
          <w:szCs w:val="30"/>
        </w:rPr>
      </w:pPr>
      <w:r>
        <w:rPr>
          <w:rFonts w:eastAsia="仿宋_GB2312"/>
          <w:sz w:val="32"/>
          <w:szCs w:val="30"/>
        </w:rPr>
        <w:t>（四）向不符合要求的主体进行询价、配售；</w:t>
      </w:r>
    </w:p>
    <w:p w14:paraId="20F89B0A">
      <w:pPr>
        <w:adjustRightInd w:val="0"/>
        <w:spacing w:line="560" w:lineRule="exact"/>
        <w:ind w:firstLine="640" w:firstLineChars="200"/>
        <w:contextualSpacing/>
        <w:rPr>
          <w:rFonts w:eastAsia="仿宋_GB2312"/>
          <w:sz w:val="32"/>
          <w:szCs w:val="30"/>
        </w:rPr>
      </w:pPr>
      <w:r>
        <w:rPr>
          <w:rFonts w:eastAsia="仿宋_GB2312"/>
          <w:sz w:val="32"/>
          <w:szCs w:val="30"/>
        </w:rPr>
        <w:t>（五）未按规定提供投资价值研究报告或者发布投资风险特别公告；</w:t>
      </w:r>
    </w:p>
    <w:p w14:paraId="034AF310">
      <w:pPr>
        <w:spacing w:line="560" w:lineRule="exact"/>
        <w:ind w:firstLine="640" w:firstLineChars="200"/>
        <w:contextualSpacing/>
        <w:rPr>
          <w:rFonts w:eastAsia="仿宋_GB2312"/>
          <w:sz w:val="32"/>
          <w:szCs w:val="30"/>
        </w:rPr>
      </w:pPr>
      <w:r>
        <w:rPr>
          <w:rFonts w:eastAsia="仿宋_GB2312"/>
          <w:sz w:val="32"/>
          <w:szCs w:val="30"/>
        </w:rPr>
        <w:t>（六）参与战略配售的投资者、保荐人相关子公司违反其作出的限售期、股份减持以及其他相关承诺；</w:t>
      </w:r>
    </w:p>
    <w:p w14:paraId="5C4D00CE">
      <w:pPr>
        <w:adjustRightInd w:val="0"/>
        <w:spacing w:line="560" w:lineRule="exact"/>
        <w:ind w:firstLine="640" w:firstLineChars="200"/>
        <w:contextualSpacing/>
        <w:rPr>
          <w:rFonts w:eastAsia="仿宋_GB2312"/>
          <w:sz w:val="32"/>
          <w:szCs w:val="30"/>
        </w:rPr>
      </w:pPr>
      <w:r>
        <w:rPr>
          <w:rFonts w:eastAsia="仿宋_GB2312"/>
          <w:sz w:val="32"/>
          <w:szCs w:val="30"/>
        </w:rPr>
        <w:t>（七）发行人的高级管理人员与核心员工设立专项资产管理计划参与战略配售，未按规定履行决策程序和信息披露义务；</w:t>
      </w:r>
    </w:p>
    <w:p w14:paraId="16E67551">
      <w:pPr>
        <w:adjustRightInd w:val="0"/>
        <w:spacing w:line="560" w:lineRule="exact"/>
        <w:ind w:firstLine="640" w:firstLineChars="200"/>
        <w:contextualSpacing/>
        <w:rPr>
          <w:rFonts w:eastAsia="仿宋_GB2312"/>
          <w:sz w:val="32"/>
          <w:szCs w:val="30"/>
        </w:rPr>
      </w:pPr>
      <w:r>
        <w:rPr>
          <w:rFonts w:eastAsia="仿宋_GB2312"/>
          <w:sz w:val="32"/>
          <w:szCs w:val="30"/>
        </w:rPr>
        <w:t>（八）未及时向本所报备发行与承销方案，或者本所提出异议后仍然按原方案启动发行工作；</w:t>
      </w:r>
    </w:p>
    <w:p w14:paraId="507907E5">
      <w:pPr>
        <w:adjustRightInd w:val="0"/>
        <w:spacing w:line="560" w:lineRule="exact"/>
        <w:ind w:firstLine="640" w:firstLineChars="200"/>
        <w:contextualSpacing/>
        <w:rPr>
          <w:rFonts w:eastAsia="仿宋_GB2312"/>
          <w:sz w:val="32"/>
          <w:szCs w:val="30"/>
        </w:rPr>
      </w:pPr>
      <w:r>
        <w:rPr>
          <w:rFonts w:eastAsia="仿宋_GB2312"/>
          <w:sz w:val="32"/>
          <w:szCs w:val="30"/>
        </w:rPr>
        <w:t>（九）根据《承销办法》和本细则等规定，应当中止发行而不中止发行；</w:t>
      </w:r>
    </w:p>
    <w:p w14:paraId="139BDC14">
      <w:pPr>
        <w:spacing w:line="560" w:lineRule="exact"/>
        <w:ind w:firstLine="640" w:firstLineChars="200"/>
        <w:contextualSpacing/>
        <w:rPr>
          <w:rFonts w:eastAsia="仿宋_GB2312"/>
          <w:sz w:val="32"/>
          <w:szCs w:val="30"/>
        </w:rPr>
      </w:pPr>
      <w:r>
        <w:rPr>
          <w:rFonts w:eastAsia="仿宋_GB2312"/>
          <w:sz w:val="32"/>
          <w:szCs w:val="30"/>
        </w:rPr>
        <w:t>（十）违反本细则关于采用超额配售选择权的规定，影响证券上市交易正常秩序；</w:t>
      </w:r>
    </w:p>
    <w:p w14:paraId="2E9AAF3B">
      <w:pPr>
        <w:adjustRightInd w:val="0"/>
        <w:spacing w:line="560" w:lineRule="exact"/>
        <w:ind w:firstLine="640" w:firstLineChars="200"/>
        <w:contextualSpacing/>
        <w:rPr>
          <w:rFonts w:eastAsia="仿宋_GB2312"/>
          <w:sz w:val="32"/>
          <w:szCs w:val="30"/>
        </w:rPr>
      </w:pPr>
      <w:r>
        <w:rPr>
          <w:rFonts w:eastAsia="仿宋_GB2312"/>
          <w:sz w:val="32"/>
          <w:szCs w:val="30"/>
        </w:rPr>
        <w:t>（十一）未按规定编制信息披露文件，履行信息披露义务；</w:t>
      </w:r>
    </w:p>
    <w:p w14:paraId="09E6C337">
      <w:pPr>
        <w:adjustRightInd w:val="0"/>
        <w:spacing w:line="560" w:lineRule="exact"/>
        <w:ind w:firstLine="640" w:firstLineChars="200"/>
        <w:contextualSpacing/>
        <w:rPr>
          <w:rFonts w:eastAsia="仿宋_GB2312"/>
          <w:sz w:val="32"/>
          <w:szCs w:val="30"/>
        </w:rPr>
      </w:pPr>
      <w:r>
        <w:rPr>
          <w:rFonts w:eastAsia="仿宋_GB2312"/>
          <w:sz w:val="32"/>
          <w:szCs w:val="30"/>
        </w:rPr>
        <w:t>（十二）发行过程中的信息披露未达到真实、准确、完整、及时要求，存在虚假记载、误导性陈述或重大遗漏；</w:t>
      </w:r>
    </w:p>
    <w:p w14:paraId="5091266E">
      <w:pPr>
        <w:spacing w:line="560" w:lineRule="exact"/>
        <w:ind w:firstLine="640" w:firstLineChars="200"/>
        <w:contextualSpacing/>
        <w:rPr>
          <w:rFonts w:eastAsia="仿宋_GB2312"/>
          <w:sz w:val="32"/>
          <w:szCs w:val="30"/>
        </w:rPr>
      </w:pPr>
      <w:r>
        <w:rPr>
          <w:rFonts w:eastAsia="仿宋_GB2312"/>
          <w:sz w:val="32"/>
          <w:szCs w:val="30"/>
        </w:rPr>
        <w:t>（十三）保荐人和主承销商违反规定向发行人、投资者不当收取费用；</w:t>
      </w:r>
    </w:p>
    <w:p w14:paraId="601C77D3">
      <w:pPr>
        <w:spacing w:line="560" w:lineRule="exact"/>
        <w:ind w:firstLine="640" w:firstLineChars="200"/>
        <w:contextualSpacing/>
        <w:rPr>
          <w:rFonts w:eastAsia="仿宋_GB2312"/>
          <w:sz w:val="32"/>
          <w:szCs w:val="30"/>
        </w:rPr>
      </w:pPr>
      <w:r>
        <w:rPr>
          <w:rFonts w:eastAsia="仿宋_GB2312"/>
          <w:sz w:val="32"/>
          <w:szCs w:val="30"/>
        </w:rPr>
        <w:t>（十四）违反本细则规定的其他情形。</w:t>
      </w:r>
    </w:p>
    <w:p w14:paraId="35E1E40D">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发行人及其控股股东和实际控制人、证券公司、证券服务机构、投资者及其直接负责的主管人员和其他直接责任人员等违反本细则规定的，本所可以采取下列监管措施：</w:t>
      </w:r>
    </w:p>
    <w:p w14:paraId="51038E16">
      <w:pPr>
        <w:adjustRightInd w:val="0"/>
        <w:spacing w:line="560" w:lineRule="exact"/>
        <w:ind w:firstLine="640" w:firstLineChars="200"/>
        <w:contextualSpacing/>
        <w:rPr>
          <w:rFonts w:eastAsia="仿宋_GB2312"/>
          <w:sz w:val="32"/>
          <w:szCs w:val="30"/>
        </w:rPr>
      </w:pPr>
      <w:r>
        <w:rPr>
          <w:rFonts w:eastAsia="仿宋_GB2312"/>
          <w:sz w:val="32"/>
          <w:szCs w:val="30"/>
        </w:rPr>
        <w:t>（一）口头警示；</w:t>
      </w:r>
    </w:p>
    <w:p w14:paraId="491317DC">
      <w:pPr>
        <w:adjustRightInd w:val="0"/>
        <w:spacing w:line="560" w:lineRule="exact"/>
        <w:ind w:firstLine="640" w:firstLineChars="200"/>
        <w:contextualSpacing/>
        <w:rPr>
          <w:rFonts w:eastAsia="仿宋_GB2312"/>
          <w:sz w:val="32"/>
          <w:szCs w:val="30"/>
        </w:rPr>
      </w:pPr>
      <w:r>
        <w:rPr>
          <w:rFonts w:eastAsia="仿宋_GB2312"/>
          <w:sz w:val="32"/>
          <w:szCs w:val="30"/>
        </w:rPr>
        <w:t>（二）书面警示；</w:t>
      </w:r>
    </w:p>
    <w:p w14:paraId="077BD0A5">
      <w:pPr>
        <w:adjustRightInd w:val="0"/>
        <w:spacing w:line="560" w:lineRule="exact"/>
        <w:ind w:firstLine="640" w:firstLineChars="200"/>
        <w:contextualSpacing/>
        <w:rPr>
          <w:rFonts w:eastAsia="仿宋_GB2312"/>
          <w:sz w:val="32"/>
          <w:szCs w:val="30"/>
        </w:rPr>
      </w:pPr>
      <w:r>
        <w:rPr>
          <w:rFonts w:eastAsia="仿宋_GB2312"/>
          <w:sz w:val="32"/>
          <w:szCs w:val="30"/>
        </w:rPr>
        <w:t>（三）监管谈话；</w:t>
      </w:r>
    </w:p>
    <w:p w14:paraId="09403906">
      <w:pPr>
        <w:adjustRightInd w:val="0"/>
        <w:spacing w:line="560" w:lineRule="exact"/>
        <w:ind w:firstLine="640" w:firstLineChars="200"/>
        <w:contextualSpacing/>
        <w:rPr>
          <w:rFonts w:eastAsia="仿宋_GB2312"/>
          <w:sz w:val="32"/>
          <w:szCs w:val="30"/>
        </w:rPr>
      </w:pPr>
      <w:r>
        <w:rPr>
          <w:rFonts w:eastAsia="仿宋_GB2312"/>
          <w:sz w:val="32"/>
          <w:szCs w:val="30"/>
        </w:rPr>
        <w:t>（四）要求限期改正；</w:t>
      </w:r>
    </w:p>
    <w:p w14:paraId="035B9392">
      <w:pPr>
        <w:adjustRightInd w:val="0"/>
        <w:spacing w:line="560" w:lineRule="exact"/>
        <w:ind w:firstLine="640" w:firstLineChars="200"/>
        <w:contextualSpacing/>
        <w:rPr>
          <w:rFonts w:eastAsia="仿宋_GB2312"/>
          <w:sz w:val="32"/>
          <w:szCs w:val="30"/>
        </w:rPr>
      </w:pPr>
      <w:r>
        <w:rPr>
          <w:rFonts w:eastAsia="仿宋_GB2312"/>
          <w:sz w:val="32"/>
          <w:szCs w:val="30"/>
        </w:rPr>
        <w:t>（五）要求公开致歉；</w:t>
      </w:r>
    </w:p>
    <w:p w14:paraId="1DE74C7E">
      <w:pPr>
        <w:adjustRightInd w:val="0"/>
        <w:spacing w:line="560" w:lineRule="exact"/>
        <w:ind w:firstLine="640" w:firstLineChars="200"/>
        <w:contextualSpacing/>
        <w:rPr>
          <w:rFonts w:eastAsia="仿宋_GB2312"/>
          <w:sz w:val="32"/>
          <w:szCs w:val="30"/>
        </w:rPr>
      </w:pPr>
      <w:r>
        <w:rPr>
          <w:rFonts w:eastAsia="仿宋_GB2312"/>
          <w:sz w:val="32"/>
          <w:szCs w:val="30"/>
        </w:rPr>
        <w:t>（六）要求证券公司聘请第三方机构进行核查并发表意见；</w:t>
      </w:r>
    </w:p>
    <w:p w14:paraId="0F8DC483">
      <w:pPr>
        <w:adjustRightInd w:val="0"/>
        <w:spacing w:line="560" w:lineRule="exact"/>
        <w:ind w:firstLine="640" w:firstLineChars="200"/>
        <w:contextualSpacing/>
        <w:rPr>
          <w:rFonts w:eastAsia="仿宋_GB2312"/>
          <w:sz w:val="32"/>
          <w:szCs w:val="30"/>
        </w:rPr>
      </w:pPr>
      <w:r>
        <w:rPr>
          <w:rFonts w:eastAsia="仿宋_GB2312"/>
          <w:sz w:val="32"/>
          <w:szCs w:val="30"/>
        </w:rPr>
        <w:t>（七）要求限期参加培训；</w:t>
      </w:r>
    </w:p>
    <w:p w14:paraId="164FC003">
      <w:pPr>
        <w:adjustRightInd w:val="0"/>
        <w:spacing w:line="560" w:lineRule="exact"/>
        <w:ind w:firstLine="640" w:firstLineChars="200"/>
        <w:contextualSpacing/>
        <w:rPr>
          <w:rFonts w:eastAsia="仿宋_GB2312"/>
          <w:sz w:val="32"/>
          <w:szCs w:val="30"/>
        </w:rPr>
      </w:pPr>
      <w:r>
        <w:rPr>
          <w:rFonts w:eastAsia="仿宋_GB2312"/>
          <w:sz w:val="32"/>
          <w:szCs w:val="30"/>
        </w:rPr>
        <w:t>（八）本所规定的其他监管措施。</w:t>
      </w:r>
    </w:p>
    <w:p w14:paraId="39B9F950">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发行人及其控股股东和实际控制人、证券公司、证券服务机构、投资者及其直接负责的主管人员和其他直接责任人员等违反本细则规定，情节严重的，本所可以采取下列纪律处分：</w:t>
      </w:r>
    </w:p>
    <w:p w14:paraId="4985A0F1">
      <w:pPr>
        <w:adjustRightInd w:val="0"/>
        <w:spacing w:line="560" w:lineRule="exact"/>
        <w:ind w:firstLine="640" w:firstLineChars="200"/>
        <w:contextualSpacing/>
        <w:rPr>
          <w:rFonts w:eastAsia="仿宋_GB2312"/>
          <w:sz w:val="32"/>
          <w:szCs w:val="30"/>
        </w:rPr>
      </w:pPr>
      <w:r>
        <w:rPr>
          <w:rFonts w:eastAsia="仿宋_GB2312"/>
          <w:sz w:val="32"/>
          <w:szCs w:val="30"/>
        </w:rPr>
        <w:t>（一）通报批评；</w:t>
      </w:r>
    </w:p>
    <w:p w14:paraId="5FD96A3A">
      <w:pPr>
        <w:adjustRightInd w:val="0"/>
        <w:spacing w:line="560" w:lineRule="exact"/>
        <w:ind w:firstLine="640" w:firstLineChars="200"/>
        <w:contextualSpacing/>
        <w:rPr>
          <w:rFonts w:eastAsia="仿宋_GB2312"/>
          <w:sz w:val="32"/>
          <w:szCs w:val="30"/>
        </w:rPr>
      </w:pPr>
      <w:r>
        <w:rPr>
          <w:rFonts w:eastAsia="仿宋_GB2312"/>
          <w:sz w:val="32"/>
          <w:szCs w:val="30"/>
        </w:rPr>
        <w:t>（二）公开谴责；</w:t>
      </w:r>
    </w:p>
    <w:p w14:paraId="7C13BF11">
      <w:pPr>
        <w:adjustRightInd w:val="0"/>
        <w:spacing w:line="560" w:lineRule="exact"/>
        <w:ind w:firstLine="640" w:firstLineChars="200"/>
        <w:contextualSpacing/>
        <w:rPr>
          <w:rFonts w:eastAsia="仿宋_GB2312"/>
          <w:sz w:val="32"/>
          <w:szCs w:val="30"/>
        </w:rPr>
      </w:pPr>
      <w:r>
        <w:rPr>
          <w:rFonts w:eastAsia="仿宋_GB2312"/>
          <w:sz w:val="32"/>
          <w:szCs w:val="30"/>
        </w:rPr>
        <w:t>（三）公开认定发行人董事、监事、高级管理人员3年以上不适合担任证券发行人董事、监事、高级管理人员；</w:t>
      </w:r>
    </w:p>
    <w:p w14:paraId="7FE578C1">
      <w:pPr>
        <w:adjustRightInd w:val="0"/>
        <w:spacing w:line="560" w:lineRule="exact"/>
        <w:ind w:firstLine="640" w:firstLineChars="200"/>
        <w:contextualSpacing/>
        <w:rPr>
          <w:rFonts w:eastAsia="仿宋_GB2312"/>
          <w:sz w:val="32"/>
          <w:szCs w:val="30"/>
        </w:rPr>
      </w:pPr>
      <w:r>
        <w:rPr>
          <w:rFonts w:eastAsia="仿宋_GB2312"/>
          <w:sz w:val="32"/>
          <w:szCs w:val="30"/>
        </w:rPr>
        <w:t>（四）3个月至3年内不接受发行人提交的发行上市申请文件；</w:t>
      </w:r>
    </w:p>
    <w:p w14:paraId="4DB2745F">
      <w:pPr>
        <w:adjustRightInd w:val="0"/>
        <w:spacing w:line="560" w:lineRule="exact"/>
        <w:ind w:firstLine="640" w:firstLineChars="200"/>
        <w:contextualSpacing/>
        <w:rPr>
          <w:rFonts w:eastAsia="仿宋_GB2312"/>
          <w:sz w:val="32"/>
          <w:szCs w:val="30"/>
        </w:rPr>
      </w:pPr>
      <w:r>
        <w:rPr>
          <w:rFonts w:eastAsia="仿宋_GB2312"/>
          <w:sz w:val="32"/>
          <w:szCs w:val="30"/>
        </w:rPr>
        <w:t>（五）3个月至3年内不接受保荐人、承销商、证券服务机构提交的证券承销业务相关文件；</w:t>
      </w:r>
    </w:p>
    <w:p w14:paraId="7670DE17">
      <w:pPr>
        <w:adjustRightInd w:val="0"/>
        <w:spacing w:line="560" w:lineRule="exact"/>
        <w:ind w:firstLine="640" w:firstLineChars="200"/>
        <w:contextualSpacing/>
        <w:rPr>
          <w:rFonts w:eastAsia="仿宋_GB2312"/>
          <w:sz w:val="32"/>
          <w:szCs w:val="30"/>
        </w:rPr>
      </w:pPr>
      <w:r>
        <w:rPr>
          <w:rFonts w:eastAsia="仿宋_GB2312"/>
          <w:sz w:val="32"/>
          <w:szCs w:val="30"/>
        </w:rPr>
        <w:t>（六）3个月至3年内不接受保荐代表人及保荐人其他相关人员、承销商相关人员、证券服务机构相关人员签字的证券承销业务相关文件；</w:t>
      </w:r>
    </w:p>
    <w:p w14:paraId="75DC25A6">
      <w:pPr>
        <w:adjustRightInd w:val="0"/>
        <w:spacing w:line="560" w:lineRule="exact"/>
        <w:ind w:firstLine="640" w:firstLineChars="200"/>
        <w:contextualSpacing/>
        <w:rPr>
          <w:rFonts w:eastAsia="仿宋_GB2312"/>
          <w:sz w:val="32"/>
          <w:szCs w:val="30"/>
        </w:rPr>
      </w:pPr>
      <w:r>
        <w:rPr>
          <w:rFonts w:eastAsia="仿宋_GB2312"/>
          <w:sz w:val="32"/>
          <w:szCs w:val="30"/>
        </w:rPr>
        <w:t>（七）本所规定的其他纪律处分。</w:t>
      </w:r>
    </w:p>
    <w:p w14:paraId="3E3DBBA8">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发行人及其控股股东和实际控制人、证券公司、证券服务机构、投资者及其直接负责的主管人员和其他直接责任人员等被其他证券交易所采取暂不接受文件、认定为不适当人选等自律监管措施和纪律处分的，本所按照业务规则，在相应期限内不接受其提交或者签字的相关文件，或者认为其不适合担任证券发行人董事、监事、高级管理人员。</w:t>
      </w:r>
    </w:p>
    <w:p w14:paraId="69037B38">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本所发现承销商存在中国证券业协会发布的相关规则所述违规行为的，将公开通报情况，并建议中国证券业协会采取行业内告诫、公开谴责等自律措施。</w:t>
      </w:r>
    </w:p>
    <w:p w14:paraId="4C7490B7">
      <w:pPr>
        <w:adjustRightInd w:val="0"/>
        <w:spacing w:line="560" w:lineRule="exact"/>
        <w:ind w:firstLine="640" w:firstLineChars="200"/>
        <w:contextualSpacing/>
        <w:rPr>
          <w:rFonts w:eastAsia="仿宋_GB2312"/>
          <w:sz w:val="32"/>
          <w:szCs w:val="30"/>
        </w:rPr>
      </w:pPr>
      <w:r>
        <w:rPr>
          <w:rFonts w:eastAsia="仿宋_GB2312"/>
          <w:sz w:val="32"/>
          <w:szCs w:val="30"/>
        </w:rPr>
        <w:t>本所发现网下投资者存在中国证券业协会发布的相关规则所述违规行为的，将公开通报情况，并建议中国证券业协会采取列入网下投资者或者配售对象限制名单等自律措施。</w:t>
      </w:r>
    </w:p>
    <w:p w14:paraId="6F259112">
      <w:pPr>
        <w:adjustRightInd w:val="0"/>
        <w:spacing w:line="560" w:lineRule="exact"/>
        <w:contextualSpacing/>
        <w:jc w:val="center"/>
        <w:rPr>
          <w:rFonts w:eastAsia="仿宋_GB2312"/>
          <w:b w:val="0"/>
          <w:bCs w:val="0"/>
          <w:sz w:val="32"/>
          <w:szCs w:val="30"/>
        </w:rPr>
      </w:pPr>
      <w:r>
        <w:rPr>
          <w:rFonts w:hAnsi="黑体" w:eastAsia="黑体"/>
          <w:b w:val="0"/>
          <w:bCs w:val="0"/>
          <w:sz w:val="32"/>
          <w:szCs w:val="30"/>
        </w:rPr>
        <w:t>第七章</w:t>
      </w:r>
      <w:r>
        <w:rPr>
          <w:rFonts w:eastAsia="黑体"/>
          <w:b w:val="0"/>
          <w:bCs w:val="0"/>
          <w:sz w:val="32"/>
          <w:szCs w:val="30"/>
        </w:rPr>
        <w:t xml:space="preserve">  </w:t>
      </w:r>
      <w:r>
        <w:rPr>
          <w:rFonts w:hAnsi="黑体" w:eastAsia="黑体"/>
          <w:b w:val="0"/>
          <w:bCs w:val="0"/>
          <w:sz w:val="32"/>
          <w:szCs w:val="30"/>
        </w:rPr>
        <w:t>附</w:t>
      </w:r>
      <w:r>
        <w:rPr>
          <w:rFonts w:hint="eastAsia" w:hAnsi="黑体" w:eastAsia="黑体"/>
          <w:b w:val="0"/>
          <w:bCs w:val="0"/>
          <w:sz w:val="32"/>
          <w:szCs w:val="30"/>
          <w:lang w:eastAsia="zh"/>
        </w:rPr>
        <w:t xml:space="preserve"> </w:t>
      </w:r>
      <w:r>
        <w:rPr>
          <w:rFonts w:hAnsi="黑体" w:eastAsia="黑体"/>
          <w:b w:val="0"/>
          <w:bCs w:val="0"/>
          <w:sz w:val="32"/>
          <w:szCs w:val="30"/>
        </w:rPr>
        <w:t>则</w:t>
      </w:r>
    </w:p>
    <w:p w14:paraId="31980D25">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股票公开发行自律委员会可以对本所证券发行和承销事宜提供咨询。</w:t>
      </w:r>
    </w:p>
    <w:p w14:paraId="77C16467">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w:t>
      </w:r>
      <w:r>
        <w:rPr>
          <w:rFonts w:hint="eastAsia" w:eastAsia="仿宋_GB2312"/>
          <w:sz w:val="32"/>
          <w:szCs w:val="30"/>
        </w:rPr>
        <w:t>发行人依法不设监事会的，不适用本细则有关监事的规定。</w:t>
      </w:r>
    </w:p>
    <w:p w14:paraId="42FD5E04">
      <w:pPr>
        <w:pStyle w:val="16"/>
        <w:numPr>
          <w:ilvl w:val="0"/>
          <w:numId w:val="1"/>
        </w:numPr>
        <w:spacing w:line="560" w:lineRule="exact"/>
        <w:ind w:left="0" w:firstLine="640"/>
        <w:contextualSpacing/>
        <w:rPr>
          <w:rFonts w:eastAsia="仿宋_GB2312"/>
          <w:sz w:val="32"/>
          <w:szCs w:val="30"/>
        </w:rPr>
      </w:pPr>
      <w:r>
        <w:rPr>
          <w:rFonts w:hint="eastAsia" w:eastAsia="仿宋_GB2312"/>
          <w:sz w:val="32"/>
          <w:szCs w:val="30"/>
        </w:rPr>
        <w:t xml:space="preserve"> </w:t>
      </w:r>
      <w:r>
        <w:rPr>
          <w:rFonts w:eastAsia="仿宋_GB2312"/>
          <w:sz w:val="32"/>
          <w:szCs w:val="30"/>
        </w:rPr>
        <w:t>本细则经本所理事会审议通过并报中国证监会批准后生效，修改时亦同。</w:t>
      </w:r>
    </w:p>
    <w:p w14:paraId="7A26D5F2">
      <w:pPr>
        <w:pStyle w:val="16"/>
        <w:numPr>
          <w:ilvl w:val="0"/>
          <w:numId w:val="1"/>
        </w:numPr>
        <w:spacing w:line="560" w:lineRule="exact"/>
        <w:ind w:left="0" w:firstLine="640"/>
        <w:contextualSpacing/>
        <w:rPr>
          <w:rFonts w:eastAsia="仿宋_GB2312"/>
          <w:sz w:val="32"/>
          <w:szCs w:val="30"/>
        </w:rPr>
      </w:pPr>
      <w:r>
        <w:rPr>
          <w:rFonts w:eastAsia="仿宋_GB2312"/>
          <w:sz w:val="32"/>
          <w:szCs w:val="30"/>
        </w:rPr>
        <w:t xml:space="preserve"> 本细则由本所负责解释。</w:t>
      </w:r>
    </w:p>
    <w:p w14:paraId="3D834F31">
      <w:pPr>
        <w:pStyle w:val="16"/>
        <w:numPr>
          <w:ilvl w:val="0"/>
          <w:numId w:val="1"/>
        </w:numPr>
        <w:spacing w:line="560" w:lineRule="exact"/>
        <w:ind w:left="0" w:firstLine="640"/>
        <w:contextualSpacing/>
        <w:rPr>
          <w:sz w:val="22"/>
        </w:rPr>
      </w:pPr>
      <w:r>
        <w:rPr>
          <w:rFonts w:eastAsia="仿宋_GB2312"/>
          <w:sz w:val="32"/>
          <w:szCs w:val="30"/>
        </w:rPr>
        <w:t xml:space="preserve"> 本细则自发布之日起施行。本所于2023年2月17日发布的《上海证券交易所首次公开发行证券发行与承销业务实施细则》（上证发〔2023〕33号）同时废止。</w:t>
      </w:r>
    </w:p>
    <w:p w14:paraId="0CE5E560">
      <w:pPr>
        <w:spacing w:line="560" w:lineRule="exact"/>
        <w:contextualSpacing/>
        <w:jc w:val="center"/>
        <w:rPr>
          <w:sz w:val="22"/>
        </w:rPr>
      </w:pPr>
    </w:p>
    <w:sectPr>
      <w:footerReference r:id="rId3" w:type="default"/>
      <w:footerReference r:id="rId4" w:type="even"/>
      <w:pgSz w:w="11906" w:h="16838"/>
      <w:pgMar w:top="1440" w:right="1797" w:bottom="1440"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0000000000000000000"/>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panose1 w:val="02000500000000000000"/>
    <w:charset w:val="86"/>
    <w:family w:val="modern"/>
    <w:pitch w:val="default"/>
    <w:sig w:usb0="A00002BF" w:usb1="584F6CFA" w:usb2="00000012" w:usb3="00000000" w:csb0="00040001" w:csb1="00000000"/>
  </w:font>
  <w:font w:name="方正大标宋简体">
    <w:panose1 w:val="02000000000000000000"/>
    <w:charset w:val="86"/>
    <w:family w:val="auto"/>
    <w:pitch w:val="default"/>
    <w:sig w:usb0="A00002BF" w:usb1="184F6CFA" w:usb2="00000012" w:usb3="00000000" w:csb0="00040001" w:csb1="00000000"/>
  </w:font>
  <w:font w:name="楷体_GB2312">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sz w:val="24"/>
        <w:szCs w:val="24"/>
      </w:rPr>
      <w:id w:val="223306860"/>
      <w:docPartObj>
        <w:docPartGallery w:val="autotext"/>
      </w:docPartObj>
    </w:sdtPr>
    <w:sdtEndPr>
      <w:rPr>
        <w:rFonts w:ascii="宋体" w:hAnsi="宋体"/>
        <w:sz w:val="24"/>
        <w:szCs w:val="24"/>
      </w:rPr>
    </w:sdtEndPr>
    <w:sdtContent>
      <w:p w14:paraId="032755E6">
        <w:pPr>
          <w:pStyle w:val="7"/>
          <w:jc w:val="right"/>
          <w:rPr>
            <w:rFonts w:ascii="宋体" w:hAnsi="宋体"/>
            <w:sz w:val="24"/>
            <w:szCs w:val="24"/>
          </w:rPr>
        </w:pPr>
        <w:r>
          <w:rPr>
            <w:rFonts w:ascii="宋体" w:hAnsi="宋体"/>
            <w:bCs/>
            <w:sz w:val="28"/>
          </w:rPr>
          <w:fldChar w:fldCharType="begin"/>
        </w:r>
        <w:r>
          <w:rPr>
            <w:rFonts w:ascii="宋体" w:hAnsi="宋体"/>
            <w:bCs/>
            <w:sz w:val="28"/>
          </w:rPr>
          <w:instrText xml:space="preserve"> PAGE   \* MERGEFORMAT </w:instrText>
        </w:r>
        <w:r>
          <w:rPr>
            <w:rFonts w:ascii="宋体" w:hAnsi="宋体"/>
            <w:bCs/>
            <w:sz w:val="28"/>
          </w:rPr>
          <w:fldChar w:fldCharType="separate"/>
        </w:r>
        <w:r>
          <w:rPr>
            <w:rFonts w:ascii="宋体" w:hAnsi="宋体"/>
            <w:bCs/>
            <w:sz w:val="28"/>
          </w:rPr>
          <w:t>- 27 -</w:t>
        </w:r>
        <w:r>
          <w:rPr>
            <w:rFonts w:ascii="宋体" w:hAnsi="宋体"/>
            <w:bCs/>
            <w:sz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E121D">
    <w:pPr>
      <w:pStyle w:val="7"/>
      <w:framePr w:wrap="around" w:vAnchor="text" w:hAnchor="margin" w:xAlign="center" w:y="1"/>
      <w:rPr>
        <w:rStyle w:val="12"/>
        <w:rFonts w:ascii="宋体" w:hAnsi="宋体"/>
      </w:rPr>
    </w:pPr>
  </w:p>
  <w:p w14:paraId="263BB72A">
    <w:pPr>
      <w:pStyle w:val="7"/>
      <w:rPr>
        <w:rFonts w:ascii="宋体" w:hAnsi="宋体"/>
      </w:rPr>
    </w:pPr>
    <w:r>
      <w:rPr>
        <w:rFonts w:hint="eastAsia" w:ascii="宋体" w:hAnsi="宋体"/>
        <w:sz w:val="28"/>
      </w:rPr>
      <w:fldChar w:fldCharType="begin"/>
    </w:r>
    <w:r>
      <w:rPr>
        <w:rFonts w:hint="eastAsia" w:ascii="宋体" w:hAnsi="宋体"/>
        <w:sz w:val="28"/>
      </w:rPr>
      <w:instrText xml:space="preserve"> PAGE </w:instrText>
    </w:r>
    <w:r>
      <w:rPr>
        <w:rFonts w:hint="eastAsia" w:ascii="宋体" w:hAnsi="宋体"/>
        <w:sz w:val="28"/>
      </w:rPr>
      <w:fldChar w:fldCharType="separate"/>
    </w:r>
    <w:r>
      <w:rPr>
        <w:rFonts w:ascii="宋体" w:hAnsi="宋体"/>
        <w:sz w:val="28"/>
      </w:rPr>
      <w:t>- 26 -</w:t>
    </w:r>
    <w:r>
      <w:rPr>
        <w:rFonts w:hint="eastAsia" w:ascii="宋体" w:hAnsi="宋体"/>
        <w:sz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5A2BA4"/>
    <w:multiLevelType w:val="multilevel"/>
    <w:tmpl w:val="765A2BA4"/>
    <w:lvl w:ilvl="0" w:tentative="0">
      <w:start w:val="1"/>
      <w:numFmt w:val="chineseCountingThousand"/>
      <w:lvlText w:val="第%1条"/>
      <w:lvlJc w:val="left"/>
      <w:pPr>
        <w:ind w:left="4815" w:hanging="420"/>
      </w:pPr>
      <w:rPr>
        <w:rFonts w:hint="eastAsia" w:ascii="仿宋_GB2312" w:hAnsi="黑体" w:eastAsia="仿宋_GB2312"/>
        <w:b/>
        <w:sz w:val="30"/>
        <w:szCs w:val="30"/>
        <w:lang w:val="en-U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20768"/>
    <w:rsid w:val="00000DFA"/>
    <w:rsid w:val="000019BF"/>
    <w:rsid w:val="000029BF"/>
    <w:rsid w:val="00002FFC"/>
    <w:rsid w:val="00007233"/>
    <w:rsid w:val="000112A6"/>
    <w:rsid w:val="00012A2B"/>
    <w:rsid w:val="00012B47"/>
    <w:rsid w:val="00014A1D"/>
    <w:rsid w:val="00016D1D"/>
    <w:rsid w:val="00016EFC"/>
    <w:rsid w:val="0001737E"/>
    <w:rsid w:val="00017E05"/>
    <w:rsid w:val="000219D7"/>
    <w:rsid w:val="00025F76"/>
    <w:rsid w:val="000260A3"/>
    <w:rsid w:val="000269D1"/>
    <w:rsid w:val="00030642"/>
    <w:rsid w:val="00030D66"/>
    <w:rsid w:val="000340D8"/>
    <w:rsid w:val="000359E3"/>
    <w:rsid w:val="000360C9"/>
    <w:rsid w:val="00036D56"/>
    <w:rsid w:val="00040C49"/>
    <w:rsid w:val="0004139D"/>
    <w:rsid w:val="00041B03"/>
    <w:rsid w:val="000429E5"/>
    <w:rsid w:val="00043422"/>
    <w:rsid w:val="00046142"/>
    <w:rsid w:val="000469B0"/>
    <w:rsid w:val="00047A9A"/>
    <w:rsid w:val="00047E24"/>
    <w:rsid w:val="0005038D"/>
    <w:rsid w:val="00050E12"/>
    <w:rsid w:val="00051486"/>
    <w:rsid w:val="000518E4"/>
    <w:rsid w:val="0005217A"/>
    <w:rsid w:val="00052B48"/>
    <w:rsid w:val="0005334F"/>
    <w:rsid w:val="00053B16"/>
    <w:rsid w:val="00053BCE"/>
    <w:rsid w:val="0005449A"/>
    <w:rsid w:val="00054DAC"/>
    <w:rsid w:val="000552DD"/>
    <w:rsid w:val="00057FE9"/>
    <w:rsid w:val="0006027F"/>
    <w:rsid w:val="00060D8B"/>
    <w:rsid w:val="00060E30"/>
    <w:rsid w:val="00061040"/>
    <w:rsid w:val="000611B0"/>
    <w:rsid w:val="00061500"/>
    <w:rsid w:val="00061AF6"/>
    <w:rsid w:val="00062D11"/>
    <w:rsid w:val="00065C84"/>
    <w:rsid w:val="00067378"/>
    <w:rsid w:val="00070B02"/>
    <w:rsid w:val="000738FE"/>
    <w:rsid w:val="00073C84"/>
    <w:rsid w:val="00073EE0"/>
    <w:rsid w:val="0007402E"/>
    <w:rsid w:val="000743AD"/>
    <w:rsid w:val="00076681"/>
    <w:rsid w:val="0007768E"/>
    <w:rsid w:val="00077B28"/>
    <w:rsid w:val="00077DF3"/>
    <w:rsid w:val="00080044"/>
    <w:rsid w:val="00082F73"/>
    <w:rsid w:val="00083EA5"/>
    <w:rsid w:val="000864FE"/>
    <w:rsid w:val="00090B75"/>
    <w:rsid w:val="00091A79"/>
    <w:rsid w:val="00091FD7"/>
    <w:rsid w:val="000921BB"/>
    <w:rsid w:val="00093211"/>
    <w:rsid w:val="00094EBA"/>
    <w:rsid w:val="000A03F3"/>
    <w:rsid w:val="000A1686"/>
    <w:rsid w:val="000A3CC4"/>
    <w:rsid w:val="000A40FB"/>
    <w:rsid w:val="000B01BF"/>
    <w:rsid w:val="000B1818"/>
    <w:rsid w:val="000B28F5"/>
    <w:rsid w:val="000B4855"/>
    <w:rsid w:val="000B4BC7"/>
    <w:rsid w:val="000B5230"/>
    <w:rsid w:val="000B6AA0"/>
    <w:rsid w:val="000B6E64"/>
    <w:rsid w:val="000B6E89"/>
    <w:rsid w:val="000B709E"/>
    <w:rsid w:val="000C0889"/>
    <w:rsid w:val="000C1338"/>
    <w:rsid w:val="000C2069"/>
    <w:rsid w:val="000C2D9F"/>
    <w:rsid w:val="000C3785"/>
    <w:rsid w:val="000C5AF4"/>
    <w:rsid w:val="000C65A4"/>
    <w:rsid w:val="000C7C03"/>
    <w:rsid w:val="000D3D30"/>
    <w:rsid w:val="000D4E63"/>
    <w:rsid w:val="000D5FBF"/>
    <w:rsid w:val="000D62BC"/>
    <w:rsid w:val="000D7078"/>
    <w:rsid w:val="000E1A7E"/>
    <w:rsid w:val="000E30FE"/>
    <w:rsid w:val="000E40AF"/>
    <w:rsid w:val="000E46F1"/>
    <w:rsid w:val="000E5A52"/>
    <w:rsid w:val="000E69C9"/>
    <w:rsid w:val="000E6B68"/>
    <w:rsid w:val="000E6F6B"/>
    <w:rsid w:val="000F00E6"/>
    <w:rsid w:val="000F2B82"/>
    <w:rsid w:val="000F4F49"/>
    <w:rsid w:val="000F6B78"/>
    <w:rsid w:val="000F7055"/>
    <w:rsid w:val="000F7191"/>
    <w:rsid w:val="000F7435"/>
    <w:rsid w:val="000F7441"/>
    <w:rsid w:val="000F7C36"/>
    <w:rsid w:val="00100353"/>
    <w:rsid w:val="00103D2E"/>
    <w:rsid w:val="00105C98"/>
    <w:rsid w:val="0010662B"/>
    <w:rsid w:val="00106F6A"/>
    <w:rsid w:val="00110053"/>
    <w:rsid w:val="00111060"/>
    <w:rsid w:val="001117C0"/>
    <w:rsid w:val="00111B95"/>
    <w:rsid w:val="00113F47"/>
    <w:rsid w:val="001162CF"/>
    <w:rsid w:val="001209FE"/>
    <w:rsid w:val="001223CC"/>
    <w:rsid w:val="00122EF2"/>
    <w:rsid w:val="00123B5F"/>
    <w:rsid w:val="00124448"/>
    <w:rsid w:val="001248EE"/>
    <w:rsid w:val="00125714"/>
    <w:rsid w:val="00127FAE"/>
    <w:rsid w:val="001306E8"/>
    <w:rsid w:val="001312FA"/>
    <w:rsid w:val="00132843"/>
    <w:rsid w:val="00132FFA"/>
    <w:rsid w:val="00133A95"/>
    <w:rsid w:val="0013416B"/>
    <w:rsid w:val="00134DD9"/>
    <w:rsid w:val="001375F5"/>
    <w:rsid w:val="0014006A"/>
    <w:rsid w:val="00140B0D"/>
    <w:rsid w:val="00140F28"/>
    <w:rsid w:val="00142C6E"/>
    <w:rsid w:val="001442D3"/>
    <w:rsid w:val="00144DBB"/>
    <w:rsid w:val="0014531E"/>
    <w:rsid w:val="00146507"/>
    <w:rsid w:val="001476C3"/>
    <w:rsid w:val="00147B1B"/>
    <w:rsid w:val="0015284B"/>
    <w:rsid w:val="0015294E"/>
    <w:rsid w:val="00153C33"/>
    <w:rsid w:val="00154546"/>
    <w:rsid w:val="0015492A"/>
    <w:rsid w:val="001567CB"/>
    <w:rsid w:val="00157810"/>
    <w:rsid w:val="00160045"/>
    <w:rsid w:val="00160AE1"/>
    <w:rsid w:val="00162495"/>
    <w:rsid w:val="00162C59"/>
    <w:rsid w:val="00163EBE"/>
    <w:rsid w:val="00167859"/>
    <w:rsid w:val="001704D8"/>
    <w:rsid w:val="00170CF6"/>
    <w:rsid w:val="00171A91"/>
    <w:rsid w:val="0017247B"/>
    <w:rsid w:val="00174626"/>
    <w:rsid w:val="0017483A"/>
    <w:rsid w:val="00174936"/>
    <w:rsid w:val="00174B17"/>
    <w:rsid w:val="001760E1"/>
    <w:rsid w:val="00176A37"/>
    <w:rsid w:val="001779D3"/>
    <w:rsid w:val="00177B77"/>
    <w:rsid w:val="001800F8"/>
    <w:rsid w:val="001802F2"/>
    <w:rsid w:val="001814DF"/>
    <w:rsid w:val="00184178"/>
    <w:rsid w:val="00184FD9"/>
    <w:rsid w:val="00185C28"/>
    <w:rsid w:val="00186A08"/>
    <w:rsid w:val="00186FB7"/>
    <w:rsid w:val="00187ECE"/>
    <w:rsid w:val="001930F3"/>
    <w:rsid w:val="00194061"/>
    <w:rsid w:val="00194753"/>
    <w:rsid w:val="00194A5D"/>
    <w:rsid w:val="00195374"/>
    <w:rsid w:val="001976D0"/>
    <w:rsid w:val="001A10F8"/>
    <w:rsid w:val="001A63CB"/>
    <w:rsid w:val="001A66F7"/>
    <w:rsid w:val="001A69F2"/>
    <w:rsid w:val="001A7FB8"/>
    <w:rsid w:val="001B0381"/>
    <w:rsid w:val="001B07C9"/>
    <w:rsid w:val="001B112E"/>
    <w:rsid w:val="001B12AE"/>
    <w:rsid w:val="001B1751"/>
    <w:rsid w:val="001B2672"/>
    <w:rsid w:val="001B3EEF"/>
    <w:rsid w:val="001B5086"/>
    <w:rsid w:val="001B51ED"/>
    <w:rsid w:val="001B5610"/>
    <w:rsid w:val="001B5B5A"/>
    <w:rsid w:val="001B79A9"/>
    <w:rsid w:val="001B7F26"/>
    <w:rsid w:val="001C0208"/>
    <w:rsid w:val="001C0D22"/>
    <w:rsid w:val="001C2644"/>
    <w:rsid w:val="001C2781"/>
    <w:rsid w:val="001C453B"/>
    <w:rsid w:val="001C5B81"/>
    <w:rsid w:val="001C658D"/>
    <w:rsid w:val="001D08BD"/>
    <w:rsid w:val="001D20AC"/>
    <w:rsid w:val="001D495D"/>
    <w:rsid w:val="001D4D52"/>
    <w:rsid w:val="001D52A5"/>
    <w:rsid w:val="001D604A"/>
    <w:rsid w:val="001D6F3A"/>
    <w:rsid w:val="001D6F47"/>
    <w:rsid w:val="001D6F79"/>
    <w:rsid w:val="001D7E5B"/>
    <w:rsid w:val="001E02F9"/>
    <w:rsid w:val="001E07CE"/>
    <w:rsid w:val="001E3076"/>
    <w:rsid w:val="001E3179"/>
    <w:rsid w:val="001E39B6"/>
    <w:rsid w:val="001E3ADA"/>
    <w:rsid w:val="001E3C83"/>
    <w:rsid w:val="001E3D39"/>
    <w:rsid w:val="001E3FAD"/>
    <w:rsid w:val="001E48FA"/>
    <w:rsid w:val="001E4CC0"/>
    <w:rsid w:val="001E527C"/>
    <w:rsid w:val="001E5382"/>
    <w:rsid w:val="001E5383"/>
    <w:rsid w:val="001E5D32"/>
    <w:rsid w:val="001E632C"/>
    <w:rsid w:val="001E672F"/>
    <w:rsid w:val="001E6FC7"/>
    <w:rsid w:val="001E7A33"/>
    <w:rsid w:val="001F07B5"/>
    <w:rsid w:val="001F4EDD"/>
    <w:rsid w:val="001F59D0"/>
    <w:rsid w:val="001F5D30"/>
    <w:rsid w:val="001F651F"/>
    <w:rsid w:val="00200464"/>
    <w:rsid w:val="0020163B"/>
    <w:rsid w:val="0020178B"/>
    <w:rsid w:val="00203BA1"/>
    <w:rsid w:val="00210841"/>
    <w:rsid w:val="00210D45"/>
    <w:rsid w:val="00216847"/>
    <w:rsid w:val="00217B71"/>
    <w:rsid w:val="0022045B"/>
    <w:rsid w:val="00220C92"/>
    <w:rsid w:val="00220E28"/>
    <w:rsid w:val="00223387"/>
    <w:rsid w:val="00223F4C"/>
    <w:rsid w:val="00224E9B"/>
    <w:rsid w:val="00225EB0"/>
    <w:rsid w:val="00226022"/>
    <w:rsid w:val="00226C82"/>
    <w:rsid w:val="00227894"/>
    <w:rsid w:val="00230A26"/>
    <w:rsid w:val="0023313D"/>
    <w:rsid w:val="0023399C"/>
    <w:rsid w:val="00234116"/>
    <w:rsid w:val="00235E59"/>
    <w:rsid w:val="00236552"/>
    <w:rsid w:val="002373FB"/>
    <w:rsid w:val="002376B2"/>
    <w:rsid w:val="0024022E"/>
    <w:rsid w:val="00241373"/>
    <w:rsid w:val="00242D52"/>
    <w:rsid w:val="00243620"/>
    <w:rsid w:val="00244689"/>
    <w:rsid w:val="0024491F"/>
    <w:rsid w:val="00252E8A"/>
    <w:rsid w:val="00253017"/>
    <w:rsid w:val="00253753"/>
    <w:rsid w:val="00256806"/>
    <w:rsid w:val="002568C3"/>
    <w:rsid w:val="002600BA"/>
    <w:rsid w:val="0026084E"/>
    <w:rsid w:val="00260C31"/>
    <w:rsid w:val="00260E9B"/>
    <w:rsid w:val="002619F8"/>
    <w:rsid w:val="00262636"/>
    <w:rsid w:val="00262D7E"/>
    <w:rsid w:val="002639C9"/>
    <w:rsid w:val="00265671"/>
    <w:rsid w:val="00265DB8"/>
    <w:rsid w:val="00265E5C"/>
    <w:rsid w:val="00266985"/>
    <w:rsid w:val="00266D7B"/>
    <w:rsid w:val="002712AC"/>
    <w:rsid w:val="00271725"/>
    <w:rsid w:val="00271ACF"/>
    <w:rsid w:val="0027285D"/>
    <w:rsid w:val="00274FA7"/>
    <w:rsid w:val="002813F1"/>
    <w:rsid w:val="00282352"/>
    <w:rsid w:val="002828F7"/>
    <w:rsid w:val="002847B1"/>
    <w:rsid w:val="002902DA"/>
    <w:rsid w:val="002938D1"/>
    <w:rsid w:val="00294C43"/>
    <w:rsid w:val="002A0E6D"/>
    <w:rsid w:val="002A234C"/>
    <w:rsid w:val="002A37B7"/>
    <w:rsid w:val="002A6419"/>
    <w:rsid w:val="002A683C"/>
    <w:rsid w:val="002B121F"/>
    <w:rsid w:val="002B32CC"/>
    <w:rsid w:val="002B3C1C"/>
    <w:rsid w:val="002B3FAA"/>
    <w:rsid w:val="002B76D4"/>
    <w:rsid w:val="002C00FF"/>
    <w:rsid w:val="002C11CF"/>
    <w:rsid w:val="002C3B83"/>
    <w:rsid w:val="002C3FD4"/>
    <w:rsid w:val="002C4A25"/>
    <w:rsid w:val="002C592A"/>
    <w:rsid w:val="002C7660"/>
    <w:rsid w:val="002D09FF"/>
    <w:rsid w:val="002D26F1"/>
    <w:rsid w:val="002D3662"/>
    <w:rsid w:val="002D47C6"/>
    <w:rsid w:val="002D5441"/>
    <w:rsid w:val="002D67B5"/>
    <w:rsid w:val="002D6A2F"/>
    <w:rsid w:val="002D75DC"/>
    <w:rsid w:val="002E65D6"/>
    <w:rsid w:val="002E667B"/>
    <w:rsid w:val="002E6A0D"/>
    <w:rsid w:val="002E776D"/>
    <w:rsid w:val="002F1549"/>
    <w:rsid w:val="002F17FA"/>
    <w:rsid w:val="002F3273"/>
    <w:rsid w:val="002F45CE"/>
    <w:rsid w:val="002F690B"/>
    <w:rsid w:val="002F69C8"/>
    <w:rsid w:val="002F75B6"/>
    <w:rsid w:val="00300DE4"/>
    <w:rsid w:val="0030129E"/>
    <w:rsid w:val="0030280F"/>
    <w:rsid w:val="00302BDC"/>
    <w:rsid w:val="00305393"/>
    <w:rsid w:val="003062F0"/>
    <w:rsid w:val="0030653F"/>
    <w:rsid w:val="00306DD7"/>
    <w:rsid w:val="00306F8F"/>
    <w:rsid w:val="003168AE"/>
    <w:rsid w:val="00316B8D"/>
    <w:rsid w:val="00317087"/>
    <w:rsid w:val="00317708"/>
    <w:rsid w:val="00317CB3"/>
    <w:rsid w:val="0032086A"/>
    <w:rsid w:val="0032097D"/>
    <w:rsid w:val="00321414"/>
    <w:rsid w:val="00324A17"/>
    <w:rsid w:val="003250D7"/>
    <w:rsid w:val="00325F7B"/>
    <w:rsid w:val="00326F49"/>
    <w:rsid w:val="003274F8"/>
    <w:rsid w:val="00327FCE"/>
    <w:rsid w:val="003300EC"/>
    <w:rsid w:val="00330109"/>
    <w:rsid w:val="00331079"/>
    <w:rsid w:val="003311C3"/>
    <w:rsid w:val="003319E8"/>
    <w:rsid w:val="00332419"/>
    <w:rsid w:val="00332EE4"/>
    <w:rsid w:val="00334C82"/>
    <w:rsid w:val="003361EC"/>
    <w:rsid w:val="00341D4F"/>
    <w:rsid w:val="00341F71"/>
    <w:rsid w:val="00343210"/>
    <w:rsid w:val="003440AF"/>
    <w:rsid w:val="0034567E"/>
    <w:rsid w:val="00345ED2"/>
    <w:rsid w:val="003462C8"/>
    <w:rsid w:val="003465B8"/>
    <w:rsid w:val="00346B61"/>
    <w:rsid w:val="00350FCF"/>
    <w:rsid w:val="003511EB"/>
    <w:rsid w:val="00351B61"/>
    <w:rsid w:val="003521B8"/>
    <w:rsid w:val="00353A77"/>
    <w:rsid w:val="00354235"/>
    <w:rsid w:val="00355449"/>
    <w:rsid w:val="003558E4"/>
    <w:rsid w:val="00356719"/>
    <w:rsid w:val="00360D9A"/>
    <w:rsid w:val="003612AA"/>
    <w:rsid w:val="003615EE"/>
    <w:rsid w:val="00362AF7"/>
    <w:rsid w:val="0036313F"/>
    <w:rsid w:val="00363985"/>
    <w:rsid w:val="00364360"/>
    <w:rsid w:val="00365767"/>
    <w:rsid w:val="00366ABD"/>
    <w:rsid w:val="00367D70"/>
    <w:rsid w:val="00372000"/>
    <w:rsid w:val="00372221"/>
    <w:rsid w:val="00372EF4"/>
    <w:rsid w:val="003741C5"/>
    <w:rsid w:val="00375EC5"/>
    <w:rsid w:val="00377F5A"/>
    <w:rsid w:val="00381F4D"/>
    <w:rsid w:val="0038363D"/>
    <w:rsid w:val="003845AD"/>
    <w:rsid w:val="00384746"/>
    <w:rsid w:val="00384E48"/>
    <w:rsid w:val="00385B9D"/>
    <w:rsid w:val="00386125"/>
    <w:rsid w:val="00386A6F"/>
    <w:rsid w:val="00386E7F"/>
    <w:rsid w:val="003900FA"/>
    <w:rsid w:val="0039036D"/>
    <w:rsid w:val="0039348D"/>
    <w:rsid w:val="00393960"/>
    <w:rsid w:val="003940EA"/>
    <w:rsid w:val="003952D8"/>
    <w:rsid w:val="003A185F"/>
    <w:rsid w:val="003A1CE0"/>
    <w:rsid w:val="003A1D15"/>
    <w:rsid w:val="003A2381"/>
    <w:rsid w:val="003A248C"/>
    <w:rsid w:val="003A3175"/>
    <w:rsid w:val="003A6262"/>
    <w:rsid w:val="003A6306"/>
    <w:rsid w:val="003A6677"/>
    <w:rsid w:val="003A675F"/>
    <w:rsid w:val="003A6B03"/>
    <w:rsid w:val="003A7E5E"/>
    <w:rsid w:val="003A7F10"/>
    <w:rsid w:val="003B077A"/>
    <w:rsid w:val="003B11B3"/>
    <w:rsid w:val="003B41E5"/>
    <w:rsid w:val="003B6D44"/>
    <w:rsid w:val="003B7332"/>
    <w:rsid w:val="003B7D59"/>
    <w:rsid w:val="003C0155"/>
    <w:rsid w:val="003C126D"/>
    <w:rsid w:val="003C2B91"/>
    <w:rsid w:val="003C7A66"/>
    <w:rsid w:val="003D079C"/>
    <w:rsid w:val="003D12FA"/>
    <w:rsid w:val="003D1356"/>
    <w:rsid w:val="003D2967"/>
    <w:rsid w:val="003D38FD"/>
    <w:rsid w:val="003D3D39"/>
    <w:rsid w:val="003D433E"/>
    <w:rsid w:val="003D53DE"/>
    <w:rsid w:val="003E0587"/>
    <w:rsid w:val="003E2682"/>
    <w:rsid w:val="003E304C"/>
    <w:rsid w:val="003E3060"/>
    <w:rsid w:val="003E387C"/>
    <w:rsid w:val="003E398E"/>
    <w:rsid w:val="003E490B"/>
    <w:rsid w:val="003E4C44"/>
    <w:rsid w:val="003E5001"/>
    <w:rsid w:val="003E6C94"/>
    <w:rsid w:val="003E70AC"/>
    <w:rsid w:val="003F2C4E"/>
    <w:rsid w:val="003F6059"/>
    <w:rsid w:val="003F63D0"/>
    <w:rsid w:val="003F6916"/>
    <w:rsid w:val="003F724C"/>
    <w:rsid w:val="003F7C75"/>
    <w:rsid w:val="004002A2"/>
    <w:rsid w:val="00400886"/>
    <w:rsid w:val="0040186C"/>
    <w:rsid w:val="00403212"/>
    <w:rsid w:val="00403960"/>
    <w:rsid w:val="00405F22"/>
    <w:rsid w:val="004071BC"/>
    <w:rsid w:val="004122B2"/>
    <w:rsid w:val="00412858"/>
    <w:rsid w:val="00414637"/>
    <w:rsid w:val="00416117"/>
    <w:rsid w:val="004161F8"/>
    <w:rsid w:val="00417964"/>
    <w:rsid w:val="00421148"/>
    <w:rsid w:val="00422A3F"/>
    <w:rsid w:val="004243F0"/>
    <w:rsid w:val="00426852"/>
    <w:rsid w:val="00426A3E"/>
    <w:rsid w:val="004271DC"/>
    <w:rsid w:val="00427927"/>
    <w:rsid w:val="004304C1"/>
    <w:rsid w:val="00431220"/>
    <w:rsid w:val="00431DB5"/>
    <w:rsid w:val="004326ED"/>
    <w:rsid w:val="00433D3D"/>
    <w:rsid w:val="004357F6"/>
    <w:rsid w:val="0043615A"/>
    <w:rsid w:val="0043646B"/>
    <w:rsid w:val="0043685C"/>
    <w:rsid w:val="00440EEA"/>
    <w:rsid w:val="00441418"/>
    <w:rsid w:val="00442999"/>
    <w:rsid w:val="00443574"/>
    <w:rsid w:val="00444A51"/>
    <w:rsid w:val="004450BF"/>
    <w:rsid w:val="004451FC"/>
    <w:rsid w:val="00446FA7"/>
    <w:rsid w:val="00447A79"/>
    <w:rsid w:val="00447C21"/>
    <w:rsid w:val="00451F87"/>
    <w:rsid w:val="00453122"/>
    <w:rsid w:val="004554DB"/>
    <w:rsid w:val="004566AC"/>
    <w:rsid w:val="004575EA"/>
    <w:rsid w:val="004600C4"/>
    <w:rsid w:val="004603DB"/>
    <w:rsid w:val="00460D3E"/>
    <w:rsid w:val="004610A3"/>
    <w:rsid w:val="00462AD4"/>
    <w:rsid w:val="00463EEE"/>
    <w:rsid w:val="0046431E"/>
    <w:rsid w:val="0046481D"/>
    <w:rsid w:val="004649F5"/>
    <w:rsid w:val="00465C40"/>
    <w:rsid w:val="00465C82"/>
    <w:rsid w:val="00466E3F"/>
    <w:rsid w:val="00467464"/>
    <w:rsid w:val="0046784F"/>
    <w:rsid w:val="00467F62"/>
    <w:rsid w:val="0047051D"/>
    <w:rsid w:val="00475E57"/>
    <w:rsid w:val="0047676B"/>
    <w:rsid w:val="00476F4F"/>
    <w:rsid w:val="0047776D"/>
    <w:rsid w:val="0048158F"/>
    <w:rsid w:val="00481F2B"/>
    <w:rsid w:val="00482F31"/>
    <w:rsid w:val="004861B7"/>
    <w:rsid w:val="00490723"/>
    <w:rsid w:val="00490B08"/>
    <w:rsid w:val="00491319"/>
    <w:rsid w:val="0049137B"/>
    <w:rsid w:val="00492CBF"/>
    <w:rsid w:val="004931A4"/>
    <w:rsid w:val="00494C24"/>
    <w:rsid w:val="00496634"/>
    <w:rsid w:val="00496BA4"/>
    <w:rsid w:val="00497E9F"/>
    <w:rsid w:val="004A0AF5"/>
    <w:rsid w:val="004A56F8"/>
    <w:rsid w:val="004A5D5C"/>
    <w:rsid w:val="004A5F70"/>
    <w:rsid w:val="004B3093"/>
    <w:rsid w:val="004B6F22"/>
    <w:rsid w:val="004C0400"/>
    <w:rsid w:val="004C28E5"/>
    <w:rsid w:val="004C46CB"/>
    <w:rsid w:val="004C489B"/>
    <w:rsid w:val="004C4DD7"/>
    <w:rsid w:val="004C64A9"/>
    <w:rsid w:val="004C65B2"/>
    <w:rsid w:val="004D34A8"/>
    <w:rsid w:val="004D3ACA"/>
    <w:rsid w:val="004D581C"/>
    <w:rsid w:val="004D7AC4"/>
    <w:rsid w:val="004E1996"/>
    <w:rsid w:val="004E1FA1"/>
    <w:rsid w:val="004E2176"/>
    <w:rsid w:val="004E3247"/>
    <w:rsid w:val="004E4C50"/>
    <w:rsid w:val="004E4DDA"/>
    <w:rsid w:val="004E795B"/>
    <w:rsid w:val="004F0F38"/>
    <w:rsid w:val="004F1001"/>
    <w:rsid w:val="004F34AE"/>
    <w:rsid w:val="004F476F"/>
    <w:rsid w:val="004F4801"/>
    <w:rsid w:val="004F48DA"/>
    <w:rsid w:val="004F608C"/>
    <w:rsid w:val="004F65AE"/>
    <w:rsid w:val="004F6AB8"/>
    <w:rsid w:val="004F7778"/>
    <w:rsid w:val="00501F3E"/>
    <w:rsid w:val="005020B0"/>
    <w:rsid w:val="005025DB"/>
    <w:rsid w:val="00502D8A"/>
    <w:rsid w:val="0050474F"/>
    <w:rsid w:val="00505F71"/>
    <w:rsid w:val="00506D3C"/>
    <w:rsid w:val="005075D1"/>
    <w:rsid w:val="00511EF3"/>
    <w:rsid w:val="00511F70"/>
    <w:rsid w:val="00512B9B"/>
    <w:rsid w:val="0051304C"/>
    <w:rsid w:val="0051445A"/>
    <w:rsid w:val="005151E3"/>
    <w:rsid w:val="00515295"/>
    <w:rsid w:val="005153E6"/>
    <w:rsid w:val="00517BB1"/>
    <w:rsid w:val="005225A5"/>
    <w:rsid w:val="00523AAC"/>
    <w:rsid w:val="00525518"/>
    <w:rsid w:val="0052591A"/>
    <w:rsid w:val="00527155"/>
    <w:rsid w:val="00531AD5"/>
    <w:rsid w:val="00532466"/>
    <w:rsid w:val="0053326C"/>
    <w:rsid w:val="005354E9"/>
    <w:rsid w:val="00535CF1"/>
    <w:rsid w:val="00536997"/>
    <w:rsid w:val="00536C34"/>
    <w:rsid w:val="0053764D"/>
    <w:rsid w:val="00537B2D"/>
    <w:rsid w:val="00537E1D"/>
    <w:rsid w:val="00540517"/>
    <w:rsid w:val="00540E12"/>
    <w:rsid w:val="0054149F"/>
    <w:rsid w:val="00542040"/>
    <w:rsid w:val="005439A6"/>
    <w:rsid w:val="00544410"/>
    <w:rsid w:val="00544530"/>
    <w:rsid w:val="00544C1A"/>
    <w:rsid w:val="00546650"/>
    <w:rsid w:val="005504FF"/>
    <w:rsid w:val="005511EB"/>
    <w:rsid w:val="00553A00"/>
    <w:rsid w:val="005542B1"/>
    <w:rsid w:val="00555191"/>
    <w:rsid w:val="0055593F"/>
    <w:rsid w:val="00560026"/>
    <w:rsid w:val="0056077B"/>
    <w:rsid w:val="00561F93"/>
    <w:rsid w:val="0056405D"/>
    <w:rsid w:val="005647CE"/>
    <w:rsid w:val="005648E3"/>
    <w:rsid w:val="00565BE6"/>
    <w:rsid w:val="00565E1D"/>
    <w:rsid w:val="005663D4"/>
    <w:rsid w:val="005672B2"/>
    <w:rsid w:val="0057012A"/>
    <w:rsid w:val="005710DC"/>
    <w:rsid w:val="00571468"/>
    <w:rsid w:val="00571469"/>
    <w:rsid w:val="005750AB"/>
    <w:rsid w:val="00575B4E"/>
    <w:rsid w:val="005777FE"/>
    <w:rsid w:val="00580651"/>
    <w:rsid w:val="005820E0"/>
    <w:rsid w:val="0058387D"/>
    <w:rsid w:val="00585229"/>
    <w:rsid w:val="0058542A"/>
    <w:rsid w:val="00586383"/>
    <w:rsid w:val="0058683C"/>
    <w:rsid w:val="00586F18"/>
    <w:rsid w:val="00586F47"/>
    <w:rsid w:val="00587AD9"/>
    <w:rsid w:val="005907E6"/>
    <w:rsid w:val="00590ED2"/>
    <w:rsid w:val="0059262E"/>
    <w:rsid w:val="0059263B"/>
    <w:rsid w:val="00593979"/>
    <w:rsid w:val="00593B0F"/>
    <w:rsid w:val="0059421B"/>
    <w:rsid w:val="00594B7F"/>
    <w:rsid w:val="005954F1"/>
    <w:rsid w:val="00596544"/>
    <w:rsid w:val="00596D4D"/>
    <w:rsid w:val="00596E93"/>
    <w:rsid w:val="0059780B"/>
    <w:rsid w:val="00597C06"/>
    <w:rsid w:val="005A0188"/>
    <w:rsid w:val="005A0D63"/>
    <w:rsid w:val="005A1637"/>
    <w:rsid w:val="005A18AF"/>
    <w:rsid w:val="005A286A"/>
    <w:rsid w:val="005A2D12"/>
    <w:rsid w:val="005A60E4"/>
    <w:rsid w:val="005A6D35"/>
    <w:rsid w:val="005A70DF"/>
    <w:rsid w:val="005A77C9"/>
    <w:rsid w:val="005B031F"/>
    <w:rsid w:val="005B1CA7"/>
    <w:rsid w:val="005B2F6B"/>
    <w:rsid w:val="005B4807"/>
    <w:rsid w:val="005B78E0"/>
    <w:rsid w:val="005C1548"/>
    <w:rsid w:val="005C1E22"/>
    <w:rsid w:val="005C36E2"/>
    <w:rsid w:val="005C4C0B"/>
    <w:rsid w:val="005C4EC7"/>
    <w:rsid w:val="005C6536"/>
    <w:rsid w:val="005C6A4B"/>
    <w:rsid w:val="005C72D9"/>
    <w:rsid w:val="005C72E7"/>
    <w:rsid w:val="005D0D12"/>
    <w:rsid w:val="005D11F0"/>
    <w:rsid w:val="005D1581"/>
    <w:rsid w:val="005D2029"/>
    <w:rsid w:val="005D291A"/>
    <w:rsid w:val="005D48B5"/>
    <w:rsid w:val="005D5C0D"/>
    <w:rsid w:val="005D5EB2"/>
    <w:rsid w:val="005D7A3D"/>
    <w:rsid w:val="005E0628"/>
    <w:rsid w:val="005E3843"/>
    <w:rsid w:val="005E4ECE"/>
    <w:rsid w:val="005E629C"/>
    <w:rsid w:val="005E7161"/>
    <w:rsid w:val="005F046C"/>
    <w:rsid w:val="005F07FC"/>
    <w:rsid w:val="005F0E7E"/>
    <w:rsid w:val="005F234F"/>
    <w:rsid w:val="005F6B1D"/>
    <w:rsid w:val="005F7089"/>
    <w:rsid w:val="00600C91"/>
    <w:rsid w:val="00601982"/>
    <w:rsid w:val="00603859"/>
    <w:rsid w:val="006038FB"/>
    <w:rsid w:val="00603F80"/>
    <w:rsid w:val="006053DD"/>
    <w:rsid w:val="0060653F"/>
    <w:rsid w:val="00606EAF"/>
    <w:rsid w:val="0061094E"/>
    <w:rsid w:val="00610BFF"/>
    <w:rsid w:val="00610FB0"/>
    <w:rsid w:val="006113AA"/>
    <w:rsid w:val="00611E99"/>
    <w:rsid w:val="00613961"/>
    <w:rsid w:val="00613F6F"/>
    <w:rsid w:val="00615728"/>
    <w:rsid w:val="00616927"/>
    <w:rsid w:val="006171CC"/>
    <w:rsid w:val="006179D5"/>
    <w:rsid w:val="00617D6D"/>
    <w:rsid w:val="00617DEB"/>
    <w:rsid w:val="00620768"/>
    <w:rsid w:val="0062194E"/>
    <w:rsid w:val="00621A6E"/>
    <w:rsid w:val="006244F7"/>
    <w:rsid w:val="00625B64"/>
    <w:rsid w:val="00626EA9"/>
    <w:rsid w:val="006276EE"/>
    <w:rsid w:val="00627E53"/>
    <w:rsid w:val="00631199"/>
    <w:rsid w:val="00632398"/>
    <w:rsid w:val="00633C8E"/>
    <w:rsid w:val="0063441D"/>
    <w:rsid w:val="006346DB"/>
    <w:rsid w:val="0063495F"/>
    <w:rsid w:val="006349FE"/>
    <w:rsid w:val="00634C8C"/>
    <w:rsid w:val="0063537F"/>
    <w:rsid w:val="006371DC"/>
    <w:rsid w:val="00640E53"/>
    <w:rsid w:val="00641C89"/>
    <w:rsid w:val="00643688"/>
    <w:rsid w:val="0064393F"/>
    <w:rsid w:val="00644066"/>
    <w:rsid w:val="006445C6"/>
    <w:rsid w:val="0064549B"/>
    <w:rsid w:val="00646E77"/>
    <w:rsid w:val="0064719A"/>
    <w:rsid w:val="00647639"/>
    <w:rsid w:val="00647879"/>
    <w:rsid w:val="00651434"/>
    <w:rsid w:val="006557DE"/>
    <w:rsid w:val="00655CC1"/>
    <w:rsid w:val="00655D76"/>
    <w:rsid w:val="00656BFC"/>
    <w:rsid w:val="00662FCF"/>
    <w:rsid w:val="006652C0"/>
    <w:rsid w:val="00666000"/>
    <w:rsid w:val="00666A5A"/>
    <w:rsid w:val="00667906"/>
    <w:rsid w:val="0067102A"/>
    <w:rsid w:val="00671344"/>
    <w:rsid w:val="0067232F"/>
    <w:rsid w:val="006745BD"/>
    <w:rsid w:val="00674ADE"/>
    <w:rsid w:val="00674D36"/>
    <w:rsid w:val="0067755E"/>
    <w:rsid w:val="006803E2"/>
    <w:rsid w:val="00680894"/>
    <w:rsid w:val="00680CE3"/>
    <w:rsid w:val="00681D9C"/>
    <w:rsid w:val="0068502E"/>
    <w:rsid w:val="006851D7"/>
    <w:rsid w:val="006857B3"/>
    <w:rsid w:val="00685E2C"/>
    <w:rsid w:val="00694686"/>
    <w:rsid w:val="0069493F"/>
    <w:rsid w:val="00695D8D"/>
    <w:rsid w:val="006A18BE"/>
    <w:rsid w:val="006A18F8"/>
    <w:rsid w:val="006A2D1F"/>
    <w:rsid w:val="006A4098"/>
    <w:rsid w:val="006A4FE6"/>
    <w:rsid w:val="006A58B1"/>
    <w:rsid w:val="006A61B1"/>
    <w:rsid w:val="006B0137"/>
    <w:rsid w:val="006B2442"/>
    <w:rsid w:val="006B48DB"/>
    <w:rsid w:val="006B6999"/>
    <w:rsid w:val="006C0341"/>
    <w:rsid w:val="006C1726"/>
    <w:rsid w:val="006C2E94"/>
    <w:rsid w:val="006C3865"/>
    <w:rsid w:val="006C4F0A"/>
    <w:rsid w:val="006C5927"/>
    <w:rsid w:val="006C6AA9"/>
    <w:rsid w:val="006C74D9"/>
    <w:rsid w:val="006C7B69"/>
    <w:rsid w:val="006D1831"/>
    <w:rsid w:val="006D28C3"/>
    <w:rsid w:val="006D4375"/>
    <w:rsid w:val="006D51AA"/>
    <w:rsid w:val="006D64B1"/>
    <w:rsid w:val="006D6EBE"/>
    <w:rsid w:val="006E0F15"/>
    <w:rsid w:val="006E31ED"/>
    <w:rsid w:val="006E3595"/>
    <w:rsid w:val="006E678B"/>
    <w:rsid w:val="006E6B96"/>
    <w:rsid w:val="006E6EE6"/>
    <w:rsid w:val="006E7035"/>
    <w:rsid w:val="006E7838"/>
    <w:rsid w:val="006E78CA"/>
    <w:rsid w:val="006F0637"/>
    <w:rsid w:val="006F0D1B"/>
    <w:rsid w:val="006F4122"/>
    <w:rsid w:val="006F654F"/>
    <w:rsid w:val="006F7837"/>
    <w:rsid w:val="00700156"/>
    <w:rsid w:val="00700551"/>
    <w:rsid w:val="00703D84"/>
    <w:rsid w:val="00705D7E"/>
    <w:rsid w:val="00711455"/>
    <w:rsid w:val="0071170B"/>
    <w:rsid w:val="00711F81"/>
    <w:rsid w:val="0071233F"/>
    <w:rsid w:val="00712537"/>
    <w:rsid w:val="007125BF"/>
    <w:rsid w:val="00714798"/>
    <w:rsid w:val="00714A85"/>
    <w:rsid w:val="00715C37"/>
    <w:rsid w:val="00716779"/>
    <w:rsid w:val="0071745A"/>
    <w:rsid w:val="00717626"/>
    <w:rsid w:val="00720FA7"/>
    <w:rsid w:val="00722BED"/>
    <w:rsid w:val="00723175"/>
    <w:rsid w:val="0072511E"/>
    <w:rsid w:val="00725AD6"/>
    <w:rsid w:val="00725E32"/>
    <w:rsid w:val="00726CAC"/>
    <w:rsid w:val="00727046"/>
    <w:rsid w:val="00727658"/>
    <w:rsid w:val="00732005"/>
    <w:rsid w:val="00734CC1"/>
    <w:rsid w:val="007373A8"/>
    <w:rsid w:val="007376AD"/>
    <w:rsid w:val="007402EB"/>
    <w:rsid w:val="0074147E"/>
    <w:rsid w:val="00741A1F"/>
    <w:rsid w:val="00741BAC"/>
    <w:rsid w:val="007422F9"/>
    <w:rsid w:val="00742CEA"/>
    <w:rsid w:val="00745B81"/>
    <w:rsid w:val="00751364"/>
    <w:rsid w:val="007520ED"/>
    <w:rsid w:val="00753EE0"/>
    <w:rsid w:val="00754FE3"/>
    <w:rsid w:val="00755360"/>
    <w:rsid w:val="00755C70"/>
    <w:rsid w:val="00755FCA"/>
    <w:rsid w:val="00757F8A"/>
    <w:rsid w:val="007623CE"/>
    <w:rsid w:val="00762EAE"/>
    <w:rsid w:val="00763981"/>
    <w:rsid w:val="0076421B"/>
    <w:rsid w:val="00766D67"/>
    <w:rsid w:val="0077104D"/>
    <w:rsid w:val="0077246F"/>
    <w:rsid w:val="00774537"/>
    <w:rsid w:val="00774924"/>
    <w:rsid w:val="00774CA7"/>
    <w:rsid w:val="00775561"/>
    <w:rsid w:val="00775F6C"/>
    <w:rsid w:val="00776087"/>
    <w:rsid w:val="0077651C"/>
    <w:rsid w:val="0077778F"/>
    <w:rsid w:val="0078022F"/>
    <w:rsid w:val="007829C6"/>
    <w:rsid w:val="00782C7C"/>
    <w:rsid w:val="00783FE6"/>
    <w:rsid w:val="00784768"/>
    <w:rsid w:val="00784EE1"/>
    <w:rsid w:val="00784F73"/>
    <w:rsid w:val="00785F7A"/>
    <w:rsid w:val="00790358"/>
    <w:rsid w:val="00790C05"/>
    <w:rsid w:val="00791CB3"/>
    <w:rsid w:val="00793379"/>
    <w:rsid w:val="007933A9"/>
    <w:rsid w:val="007952A7"/>
    <w:rsid w:val="007956DB"/>
    <w:rsid w:val="00796F32"/>
    <w:rsid w:val="00797104"/>
    <w:rsid w:val="007A06F4"/>
    <w:rsid w:val="007A2311"/>
    <w:rsid w:val="007A4814"/>
    <w:rsid w:val="007A4D82"/>
    <w:rsid w:val="007A561C"/>
    <w:rsid w:val="007A579D"/>
    <w:rsid w:val="007A5E6F"/>
    <w:rsid w:val="007A6FFB"/>
    <w:rsid w:val="007A7502"/>
    <w:rsid w:val="007A7886"/>
    <w:rsid w:val="007A7E4E"/>
    <w:rsid w:val="007A7FE5"/>
    <w:rsid w:val="007B26FF"/>
    <w:rsid w:val="007B27BE"/>
    <w:rsid w:val="007B3B22"/>
    <w:rsid w:val="007B500F"/>
    <w:rsid w:val="007B5019"/>
    <w:rsid w:val="007B6FC8"/>
    <w:rsid w:val="007B7216"/>
    <w:rsid w:val="007B7569"/>
    <w:rsid w:val="007C0A84"/>
    <w:rsid w:val="007C1FAC"/>
    <w:rsid w:val="007C223B"/>
    <w:rsid w:val="007C302A"/>
    <w:rsid w:val="007C38FA"/>
    <w:rsid w:val="007C4145"/>
    <w:rsid w:val="007C4552"/>
    <w:rsid w:val="007C4D6D"/>
    <w:rsid w:val="007C4FDE"/>
    <w:rsid w:val="007C5594"/>
    <w:rsid w:val="007C694A"/>
    <w:rsid w:val="007C6CE9"/>
    <w:rsid w:val="007C714F"/>
    <w:rsid w:val="007C7F60"/>
    <w:rsid w:val="007D14F1"/>
    <w:rsid w:val="007D1ADD"/>
    <w:rsid w:val="007D1F3F"/>
    <w:rsid w:val="007D3A2A"/>
    <w:rsid w:val="007D7030"/>
    <w:rsid w:val="007E06F0"/>
    <w:rsid w:val="007E1FCB"/>
    <w:rsid w:val="007E2761"/>
    <w:rsid w:val="007E2DF0"/>
    <w:rsid w:val="007E3AAF"/>
    <w:rsid w:val="007E45BC"/>
    <w:rsid w:val="007E46B1"/>
    <w:rsid w:val="007E5933"/>
    <w:rsid w:val="007E75D7"/>
    <w:rsid w:val="007E780D"/>
    <w:rsid w:val="007E7C18"/>
    <w:rsid w:val="007E7E47"/>
    <w:rsid w:val="007F03CD"/>
    <w:rsid w:val="007F11A5"/>
    <w:rsid w:val="007F1495"/>
    <w:rsid w:val="007F22C5"/>
    <w:rsid w:val="007F26FF"/>
    <w:rsid w:val="007F3D67"/>
    <w:rsid w:val="007F55AE"/>
    <w:rsid w:val="007F6D49"/>
    <w:rsid w:val="00800538"/>
    <w:rsid w:val="008007F5"/>
    <w:rsid w:val="00801810"/>
    <w:rsid w:val="00803414"/>
    <w:rsid w:val="00804A26"/>
    <w:rsid w:val="00804C16"/>
    <w:rsid w:val="008050F4"/>
    <w:rsid w:val="008073EC"/>
    <w:rsid w:val="0080783D"/>
    <w:rsid w:val="0081099E"/>
    <w:rsid w:val="00811DC9"/>
    <w:rsid w:val="0081207B"/>
    <w:rsid w:val="00812530"/>
    <w:rsid w:val="008141FD"/>
    <w:rsid w:val="008144C6"/>
    <w:rsid w:val="0081595D"/>
    <w:rsid w:val="0081679D"/>
    <w:rsid w:val="00817A79"/>
    <w:rsid w:val="00820044"/>
    <w:rsid w:val="00820C49"/>
    <w:rsid w:val="00820CFA"/>
    <w:rsid w:val="008213E5"/>
    <w:rsid w:val="00821B00"/>
    <w:rsid w:val="00822E04"/>
    <w:rsid w:val="00822EEC"/>
    <w:rsid w:val="00824434"/>
    <w:rsid w:val="008252DC"/>
    <w:rsid w:val="00827F73"/>
    <w:rsid w:val="00831B76"/>
    <w:rsid w:val="00833750"/>
    <w:rsid w:val="008338DB"/>
    <w:rsid w:val="00835366"/>
    <w:rsid w:val="00835AF1"/>
    <w:rsid w:val="00836629"/>
    <w:rsid w:val="00836741"/>
    <w:rsid w:val="00836C27"/>
    <w:rsid w:val="008402CF"/>
    <w:rsid w:val="00840C14"/>
    <w:rsid w:val="008412F4"/>
    <w:rsid w:val="008424FC"/>
    <w:rsid w:val="00842559"/>
    <w:rsid w:val="008438BD"/>
    <w:rsid w:val="00843EF1"/>
    <w:rsid w:val="008445DB"/>
    <w:rsid w:val="00845523"/>
    <w:rsid w:val="0084687D"/>
    <w:rsid w:val="00846C13"/>
    <w:rsid w:val="0084797D"/>
    <w:rsid w:val="00850E41"/>
    <w:rsid w:val="00852111"/>
    <w:rsid w:val="008547AB"/>
    <w:rsid w:val="00857482"/>
    <w:rsid w:val="00857561"/>
    <w:rsid w:val="00857778"/>
    <w:rsid w:val="008607DA"/>
    <w:rsid w:val="00860C5D"/>
    <w:rsid w:val="0086224E"/>
    <w:rsid w:val="00862675"/>
    <w:rsid w:val="008626D5"/>
    <w:rsid w:val="00862734"/>
    <w:rsid w:val="008634B3"/>
    <w:rsid w:val="00866B90"/>
    <w:rsid w:val="0087040C"/>
    <w:rsid w:val="00871006"/>
    <w:rsid w:val="00872088"/>
    <w:rsid w:val="008724AE"/>
    <w:rsid w:val="008729AA"/>
    <w:rsid w:val="00872E3A"/>
    <w:rsid w:val="00873CFB"/>
    <w:rsid w:val="00873EE0"/>
    <w:rsid w:val="0087613D"/>
    <w:rsid w:val="00877A68"/>
    <w:rsid w:val="00881F29"/>
    <w:rsid w:val="008820C4"/>
    <w:rsid w:val="0088306D"/>
    <w:rsid w:val="00883F5C"/>
    <w:rsid w:val="00883FB2"/>
    <w:rsid w:val="00884580"/>
    <w:rsid w:val="008853B8"/>
    <w:rsid w:val="0088540E"/>
    <w:rsid w:val="00886AE3"/>
    <w:rsid w:val="0088736C"/>
    <w:rsid w:val="008910D6"/>
    <w:rsid w:val="008943C9"/>
    <w:rsid w:val="008A23D5"/>
    <w:rsid w:val="008A4616"/>
    <w:rsid w:val="008A4D67"/>
    <w:rsid w:val="008A7875"/>
    <w:rsid w:val="008B01B4"/>
    <w:rsid w:val="008B0761"/>
    <w:rsid w:val="008B1061"/>
    <w:rsid w:val="008B148F"/>
    <w:rsid w:val="008B25BA"/>
    <w:rsid w:val="008B265B"/>
    <w:rsid w:val="008B345B"/>
    <w:rsid w:val="008B476F"/>
    <w:rsid w:val="008B4846"/>
    <w:rsid w:val="008B4C15"/>
    <w:rsid w:val="008B4FFD"/>
    <w:rsid w:val="008B6D47"/>
    <w:rsid w:val="008B731B"/>
    <w:rsid w:val="008C2F9E"/>
    <w:rsid w:val="008C3548"/>
    <w:rsid w:val="008C363C"/>
    <w:rsid w:val="008C4BC0"/>
    <w:rsid w:val="008C4EE0"/>
    <w:rsid w:val="008D0C68"/>
    <w:rsid w:val="008D530C"/>
    <w:rsid w:val="008D5A7A"/>
    <w:rsid w:val="008D60D0"/>
    <w:rsid w:val="008D6273"/>
    <w:rsid w:val="008D64FB"/>
    <w:rsid w:val="008D6E39"/>
    <w:rsid w:val="008D7C6A"/>
    <w:rsid w:val="008E1DFA"/>
    <w:rsid w:val="008E2345"/>
    <w:rsid w:val="008E440C"/>
    <w:rsid w:val="008F0516"/>
    <w:rsid w:val="008F13BF"/>
    <w:rsid w:val="008F337C"/>
    <w:rsid w:val="008F5C08"/>
    <w:rsid w:val="008F5E5D"/>
    <w:rsid w:val="008F5F49"/>
    <w:rsid w:val="008F7FB2"/>
    <w:rsid w:val="00901055"/>
    <w:rsid w:val="00903CC6"/>
    <w:rsid w:val="00903DB3"/>
    <w:rsid w:val="009043CB"/>
    <w:rsid w:val="00905226"/>
    <w:rsid w:val="00905278"/>
    <w:rsid w:val="00907203"/>
    <w:rsid w:val="00907544"/>
    <w:rsid w:val="00907896"/>
    <w:rsid w:val="009106ED"/>
    <w:rsid w:val="00911513"/>
    <w:rsid w:val="00915ECD"/>
    <w:rsid w:val="00916070"/>
    <w:rsid w:val="009166B1"/>
    <w:rsid w:val="00916FF6"/>
    <w:rsid w:val="00920CC7"/>
    <w:rsid w:val="00921167"/>
    <w:rsid w:val="0092269B"/>
    <w:rsid w:val="00923A78"/>
    <w:rsid w:val="00923B58"/>
    <w:rsid w:val="00925A09"/>
    <w:rsid w:val="00925F0F"/>
    <w:rsid w:val="0092688F"/>
    <w:rsid w:val="009275C3"/>
    <w:rsid w:val="009276FE"/>
    <w:rsid w:val="009277AF"/>
    <w:rsid w:val="00927C65"/>
    <w:rsid w:val="00930761"/>
    <w:rsid w:val="00931001"/>
    <w:rsid w:val="00932119"/>
    <w:rsid w:val="00932E32"/>
    <w:rsid w:val="00935274"/>
    <w:rsid w:val="009364A3"/>
    <w:rsid w:val="00941557"/>
    <w:rsid w:val="00943513"/>
    <w:rsid w:val="00943B0A"/>
    <w:rsid w:val="00943F48"/>
    <w:rsid w:val="00945F31"/>
    <w:rsid w:val="00945F84"/>
    <w:rsid w:val="0094744E"/>
    <w:rsid w:val="00947680"/>
    <w:rsid w:val="00947B65"/>
    <w:rsid w:val="00951D51"/>
    <w:rsid w:val="00952120"/>
    <w:rsid w:val="009531E6"/>
    <w:rsid w:val="00957392"/>
    <w:rsid w:val="00960C98"/>
    <w:rsid w:val="009610DC"/>
    <w:rsid w:val="00961F06"/>
    <w:rsid w:val="009623D9"/>
    <w:rsid w:val="009648B2"/>
    <w:rsid w:val="00965353"/>
    <w:rsid w:val="00965678"/>
    <w:rsid w:val="0096669E"/>
    <w:rsid w:val="009703CE"/>
    <w:rsid w:val="00971AAD"/>
    <w:rsid w:val="00971BFB"/>
    <w:rsid w:val="00972127"/>
    <w:rsid w:val="009722BF"/>
    <w:rsid w:val="00972603"/>
    <w:rsid w:val="00973379"/>
    <w:rsid w:val="00973A2C"/>
    <w:rsid w:val="009746EB"/>
    <w:rsid w:val="00975733"/>
    <w:rsid w:val="00975D27"/>
    <w:rsid w:val="00977293"/>
    <w:rsid w:val="0097767C"/>
    <w:rsid w:val="0097782D"/>
    <w:rsid w:val="00980578"/>
    <w:rsid w:val="009819AB"/>
    <w:rsid w:val="009820B9"/>
    <w:rsid w:val="00982771"/>
    <w:rsid w:val="009879F8"/>
    <w:rsid w:val="00987D44"/>
    <w:rsid w:val="009900C1"/>
    <w:rsid w:val="0099065F"/>
    <w:rsid w:val="00990F74"/>
    <w:rsid w:val="009928AB"/>
    <w:rsid w:val="00993960"/>
    <w:rsid w:val="0099534D"/>
    <w:rsid w:val="009959D7"/>
    <w:rsid w:val="00996BB7"/>
    <w:rsid w:val="009972FE"/>
    <w:rsid w:val="00997395"/>
    <w:rsid w:val="009976B9"/>
    <w:rsid w:val="009A1166"/>
    <w:rsid w:val="009A145F"/>
    <w:rsid w:val="009A1630"/>
    <w:rsid w:val="009A3795"/>
    <w:rsid w:val="009A3B2F"/>
    <w:rsid w:val="009A40FC"/>
    <w:rsid w:val="009A483E"/>
    <w:rsid w:val="009A6BBF"/>
    <w:rsid w:val="009A7553"/>
    <w:rsid w:val="009B01F7"/>
    <w:rsid w:val="009B2300"/>
    <w:rsid w:val="009B30F1"/>
    <w:rsid w:val="009B58E2"/>
    <w:rsid w:val="009B6347"/>
    <w:rsid w:val="009B7841"/>
    <w:rsid w:val="009C05A1"/>
    <w:rsid w:val="009C0870"/>
    <w:rsid w:val="009C0EA1"/>
    <w:rsid w:val="009C1CF6"/>
    <w:rsid w:val="009C2183"/>
    <w:rsid w:val="009C4E9E"/>
    <w:rsid w:val="009C6320"/>
    <w:rsid w:val="009C6A53"/>
    <w:rsid w:val="009C701A"/>
    <w:rsid w:val="009D002E"/>
    <w:rsid w:val="009D050D"/>
    <w:rsid w:val="009D0E97"/>
    <w:rsid w:val="009D1608"/>
    <w:rsid w:val="009D2B26"/>
    <w:rsid w:val="009D3658"/>
    <w:rsid w:val="009D38CB"/>
    <w:rsid w:val="009D597C"/>
    <w:rsid w:val="009D628E"/>
    <w:rsid w:val="009E1406"/>
    <w:rsid w:val="009E143D"/>
    <w:rsid w:val="009E226B"/>
    <w:rsid w:val="009E3FB8"/>
    <w:rsid w:val="009E5610"/>
    <w:rsid w:val="009E70C9"/>
    <w:rsid w:val="009F0283"/>
    <w:rsid w:val="009F0761"/>
    <w:rsid w:val="009F28EF"/>
    <w:rsid w:val="009F2D5C"/>
    <w:rsid w:val="009F3001"/>
    <w:rsid w:val="009F3668"/>
    <w:rsid w:val="009F3B5E"/>
    <w:rsid w:val="009F4894"/>
    <w:rsid w:val="00A01031"/>
    <w:rsid w:val="00A0146D"/>
    <w:rsid w:val="00A01CA8"/>
    <w:rsid w:val="00A02DEB"/>
    <w:rsid w:val="00A038B8"/>
    <w:rsid w:val="00A03925"/>
    <w:rsid w:val="00A03AAC"/>
    <w:rsid w:val="00A03CAD"/>
    <w:rsid w:val="00A0473D"/>
    <w:rsid w:val="00A06235"/>
    <w:rsid w:val="00A11537"/>
    <w:rsid w:val="00A11D90"/>
    <w:rsid w:val="00A1258D"/>
    <w:rsid w:val="00A14144"/>
    <w:rsid w:val="00A14E07"/>
    <w:rsid w:val="00A15DBB"/>
    <w:rsid w:val="00A16260"/>
    <w:rsid w:val="00A163C9"/>
    <w:rsid w:val="00A168D6"/>
    <w:rsid w:val="00A17F43"/>
    <w:rsid w:val="00A20D64"/>
    <w:rsid w:val="00A22DF5"/>
    <w:rsid w:val="00A23370"/>
    <w:rsid w:val="00A257F5"/>
    <w:rsid w:val="00A259CA"/>
    <w:rsid w:val="00A25C7F"/>
    <w:rsid w:val="00A25F34"/>
    <w:rsid w:val="00A26A1E"/>
    <w:rsid w:val="00A306C4"/>
    <w:rsid w:val="00A30968"/>
    <w:rsid w:val="00A31072"/>
    <w:rsid w:val="00A3141B"/>
    <w:rsid w:val="00A3252A"/>
    <w:rsid w:val="00A33337"/>
    <w:rsid w:val="00A33A08"/>
    <w:rsid w:val="00A354AA"/>
    <w:rsid w:val="00A35BCC"/>
    <w:rsid w:val="00A36C06"/>
    <w:rsid w:val="00A36EAF"/>
    <w:rsid w:val="00A371CB"/>
    <w:rsid w:val="00A37AD3"/>
    <w:rsid w:val="00A40A11"/>
    <w:rsid w:val="00A40A7F"/>
    <w:rsid w:val="00A40E9E"/>
    <w:rsid w:val="00A4161D"/>
    <w:rsid w:val="00A439D8"/>
    <w:rsid w:val="00A44B96"/>
    <w:rsid w:val="00A45832"/>
    <w:rsid w:val="00A46437"/>
    <w:rsid w:val="00A4646E"/>
    <w:rsid w:val="00A4672C"/>
    <w:rsid w:val="00A502A9"/>
    <w:rsid w:val="00A515C5"/>
    <w:rsid w:val="00A52B5B"/>
    <w:rsid w:val="00A52D4A"/>
    <w:rsid w:val="00A52EEA"/>
    <w:rsid w:val="00A54963"/>
    <w:rsid w:val="00A57408"/>
    <w:rsid w:val="00A616F7"/>
    <w:rsid w:val="00A6306E"/>
    <w:rsid w:val="00A6312C"/>
    <w:rsid w:val="00A63145"/>
    <w:rsid w:val="00A6374D"/>
    <w:rsid w:val="00A63F35"/>
    <w:rsid w:val="00A6410B"/>
    <w:rsid w:val="00A65922"/>
    <w:rsid w:val="00A702C4"/>
    <w:rsid w:val="00A703A2"/>
    <w:rsid w:val="00A727B0"/>
    <w:rsid w:val="00A730D0"/>
    <w:rsid w:val="00A73CD5"/>
    <w:rsid w:val="00A75E82"/>
    <w:rsid w:val="00A77745"/>
    <w:rsid w:val="00A803AD"/>
    <w:rsid w:val="00A804C2"/>
    <w:rsid w:val="00A810BB"/>
    <w:rsid w:val="00A82258"/>
    <w:rsid w:val="00A82EBA"/>
    <w:rsid w:val="00A84332"/>
    <w:rsid w:val="00A84935"/>
    <w:rsid w:val="00A85164"/>
    <w:rsid w:val="00A854A9"/>
    <w:rsid w:val="00A85875"/>
    <w:rsid w:val="00A8619E"/>
    <w:rsid w:val="00A86EFF"/>
    <w:rsid w:val="00A9088B"/>
    <w:rsid w:val="00A91958"/>
    <w:rsid w:val="00A947CB"/>
    <w:rsid w:val="00A95034"/>
    <w:rsid w:val="00A961C0"/>
    <w:rsid w:val="00A96420"/>
    <w:rsid w:val="00A96DFD"/>
    <w:rsid w:val="00AA068E"/>
    <w:rsid w:val="00AA1684"/>
    <w:rsid w:val="00AA1DFF"/>
    <w:rsid w:val="00AA2C01"/>
    <w:rsid w:val="00AA789B"/>
    <w:rsid w:val="00AA7D1A"/>
    <w:rsid w:val="00AB07F2"/>
    <w:rsid w:val="00AB19C3"/>
    <w:rsid w:val="00AB1BE4"/>
    <w:rsid w:val="00AB2032"/>
    <w:rsid w:val="00AB2FEC"/>
    <w:rsid w:val="00AB326A"/>
    <w:rsid w:val="00AB3F93"/>
    <w:rsid w:val="00AB5BE9"/>
    <w:rsid w:val="00AB60BE"/>
    <w:rsid w:val="00AB6343"/>
    <w:rsid w:val="00AB6C71"/>
    <w:rsid w:val="00AB6D54"/>
    <w:rsid w:val="00AB7716"/>
    <w:rsid w:val="00AC0285"/>
    <w:rsid w:val="00AC1AC0"/>
    <w:rsid w:val="00AC1AE1"/>
    <w:rsid w:val="00AC1D0F"/>
    <w:rsid w:val="00AC2768"/>
    <w:rsid w:val="00AC576F"/>
    <w:rsid w:val="00AC69C1"/>
    <w:rsid w:val="00AD0D5D"/>
    <w:rsid w:val="00AD2229"/>
    <w:rsid w:val="00AD2915"/>
    <w:rsid w:val="00AD35A0"/>
    <w:rsid w:val="00AD4839"/>
    <w:rsid w:val="00AD4896"/>
    <w:rsid w:val="00AD4DCD"/>
    <w:rsid w:val="00AD59BD"/>
    <w:rsid w:val="00AD6D7B"/>
    <w:rsid w:val="00AE0218"/>
    <w:rsid w:val="00AE0E1B"/>
    <w:rsid w:val="00AE1561"/>
    <w:rsid w:val="00AE173B"/>
    <w:rsid w:val="00AE2E36"/>
    <w:rsid w:val="00AE4355"/>
    <w:rsid w:val="00AE51A2"/>
    <w:rsid w:val="00AE7082"/>
    <w:rsid w:val="00AF02FB"/>
    <w:rsid w:val="00AF22C9"/>
    <w:rsid w:val="00AF4AD0"/>
    <w:rsid w:val="00AF6430"/>
    <w:rsid w:val="00AF7555"/>
    <w:rsid w:val="00B0025D"/>
    <w:rsid w:val="00B00991"/>
    <w:rsid w:val="00B00BE2"/>
    <w:rsid w:val="00B0205E"/>
    <w:rsid w:val="00B03DB4"/>
    <w:rsid w:val="00B04138"/>
    <w:rsid w:val="00B06F1F"/>
    <w:rsid w:val="00B13370"/>
    <w:rsid w:val="00B14CC9"/>
    <w:rsid w:val="00B14D92"/>
    <w:rsid w:val="00B15541"/>
    <w:rsid w:val="00B15E40"/>
    <w:rsid w:val="00B161DA"/>
    <w:rsid w:val="00B1640F"/>
    <w:rsid w:val="00B16CFC"/>
    <w:rsid w:val="00B17244"/>
    <w:rsid w:val="00B17289"/>
    <w:rsid w:val="00B21540"/>
    <w:rsid w:val="00B2175F"/>
    <w:rsid w:val="00B2475A"/>
    <w:rsid w:val="00B27A8C"/>
    <w:rsid w:val="00B27C0B"/>
    <w:rsid w:val="00B30A84"/>
    <w:rsid w:val="00B311D5"/>
    <w:rsid w:val="00B317BE"/>
    <w:rsid w:val="00B33061"/>
    <w:rsid w:val="00B344E0"/>
    <w:rsid w:val="00B36682"/>
    <w:rsid w:val="00B37302"/>
    <w:rsid w:val="00B3749E"/>
    <w:rsid w:val="00B37852"/>
    <w:rsid w:val="00B4134D"/>
    <w:rsid w:val="00B41DF8"/>
    <w:rsid w:val="00B41F61"/>
    <w:rsid w:val="00B43C13"/>
    <w:rsid w:val="00B476AF"/>
    <w:rsid w:val="00B50065"/>
    <w:rsid w:val="00B506B8"/>
    <w:rsid w:val="00B54975"/>
    <w:rsid w:val="00B54EFF"/>
    <w:rsid w:val="00B55CBD"/>
    <w:rsid w:val="00B56559"/>
    <w:rsid w:val="00B56943"/>
    <w:rsid w:val="00B574B4"/>
    <w:rsid w:val="00B578AE"/>
    <w:rsid w:val="00B57E32"/>
    <w:rsid w:val="00B602B6"/>
    <w:rsid w:val="00B605F5"/>
    <w:rsid w:val="00B60779"/>
    <w:rsid w:val="00B60F88"/>
    <w:rsid w:val="00B6242D"/>
    <w:rsid w:val="00B624B0"/>
    <w:rsid w:val="00B6266D"/>
    <w:rsid w:val="00B632E3"/>
    <w:rsid w:val="00B63B0C"/>
    <w:rsid w:val="00B63D3B"/>
    <w:rsid w:val="00B64AD1"/>
    <w:rsid w:val="00B64C11"/>
    <w:rsid w:val="00B66BB6"/>
    <w:rsid w:val="00B674BB"/>
    <w:rsid w:val="00B70480"/>
    <w:rsid w:val="00B70A27"/>
    <w:rsid w:val="00B70C70"/>
    <w:rsid w:val="00B71FD1"/>
    <w:rsid w:val="00B72042"/>
    <w:rsid w:val="00B730F8"/>
    <w:rsid w:val="00B73517"/>
    <w:rsid w:val="00B73C96"/>
    <w:rsid w:val="00B7568B"/>
    <w:rsid w:val="00B76D12"/>
    <w:rsid w:val="00B7781E"/>
    <w:rsid w:val="00B77AA1"/>
    <w:rsid w:val="00B817E3"/>
    <w:rsid w:val="00B8269E"/>
    <w:rsid w:val="00B828BD"/>
    <w:rsid w:val="00B836D4"/>
    <w:rsid w:val="00B84474"/>
    <w:rsid w:val="00B84B84"/>
    <w:rsid w:val="00B862D7"/>
    <w:rsid w:val="00B87A3B"/>
    <w:rsid w:val="00B9035A"/>
    <w:rsid w:val="00B910A0"/>
    <w:rsid w:val="00B91D31"/>
    <w:rsid w:val="00B92DCA"/>
    <w:rsid w:val="00B93380"/>
    <w:rsid w:val="00B937C7"/>
    <w:rsid w:val="00B9445D"/>
    <w:rsid w:val="00B952CB"/>
    <w:rsid w:val="00B95A10"/>
    <w:rsid w:val="00B97E16"/>
    <w:rsid w:val="00BA1435"/>
    <w:rsid w:val="00BA358F"/>
    <w:rsid w:val="00BA5AAD"/>
    <w:rsid w:val="00BA7050"/>
    <w:rsid w:val="00BB1AEE"/>
    <w:rsid w:val="00BB3469"/>
    <w:rsid w:val="00BB35A5"/>
    <w:rsid w:val="00BB53F6"/>
    <w:rsid w:val="00BB60C9"/>
    <w:rsid w:val="00BB6D26"/>
    <w:rsid w:val="00BC01DE"/>
    <w:rsid w:val="00BC0340"/>
    <w:rsid w:val="00BC0FCB"/>
    <w:rsid w:val="00BC107E"/>
    <w:rsid w:val="00BC22DC"/>
    <w:rsid w:val="00BC375C"/>
    <w:rsid w:val="00BC5453"/>
    <w:rsid w:val="00BC5EFF"/>
    <w:rsid w:val="00BC6438"/>
    <w:rsid w:val="00BD115D"/>
    <w:rsid w:val="00BD19F4"/>
    <w:rsid w:val="00BD2766"/>
    <w:rsid w:val="00BD4873"/>
    <w:rsid w:val="00BD5EAE"/>
    <w:rsid w:val="00BD5F2E"/>
    <w:rsid w:val="00BD7B8E"/>
    <w:rsid w:val="00BE1670"/>
    <w:rsid w:val="00BE2350"/>
    <w:rsid w:val="00BE2F2E"/>
    <w:rsid w:val="00BE33F8"/>
    <w:rsid w:val="00BE3A05"/>
    <w:rsid w:val="00BE3EDB"/>
    <w:rsid w:val="00BE46E0"/>
    <w:rsid w:val="00BE55D0"/>
    <w:rsid w:val="00BE5F79"/>
    <w:rsid w:val="00BE687E"/>
    <w:rsid w:val="00BE6B11"/>
    <w:rsid w:val="00BF0C3D"/>
    <w:rsid w:val="00BF11D4"/>
    <w:rsid w:val="00BF35A7"/>
    <w:rsid w:val="00BF40B4"/>
    <w:rsid w:val="00BF43CE"/>
    <w:rsid w:val="00BF585F"/>
    <w:rsid w:val="00BF6047"/>
    <w:rsid w:val="00BF63B1"/>
    <w:rsid w:val="00BF7C26"/>
    <w:rsid w:val="00C00BF7"/>
    <w:rsid w:val="00C01F03"/>
    <w:rsid w:val="00C0219C"/>
    <w:rsid w:val="00C02604"/>
    <w:rsid w:val="00C03727"/>
    <w:rsid w:val="00C06565"/>
    <w:rsid w:val="00C07750"/>
    <w:rsid w:val="00C10015"/>
    <w:rsid w:val="00C103B6"/>
    <w:rsid w:val="00C11189"/>
    <w:rsid w:val="00C11C44"/>
    <w:rsid w:val="00C154FA"/>
    <w:rsid w:val="00C15849"/>
    <w:rsid w:val="00C15FF5"/>
    <w:rsid w:val="00C22652"/>
    <w:rsid w:val="00C23A4B"/>
    <w:rsid w:val="00C25295"/>
    <w:rsid w:val="00C25A8A"/>
    <w:rsid w:val="00C31650"/>
    <w:rsid w:val="00C327A5"/>
    <w:rsid w:val="00C338BA"/>
    <w:rsid w:val="00C34F2E"/>
    <w:rsid w:val="00C36C36"/>
    <w:rsid w:val="00C40744"/>
    <w:rsid w:val="00C420E6"/>
    <w:rsid w:val="00C42742"/>
    <w:rsid w:val="00C43EE6"/>
    <w:rsid w:val="00C4514F"/>
    <w:rsid w:val="00C462B9"/>
    <w:rsid w:val="00C466B7"/>
    <w:rsid w:val="00C468A3"/>
    <w:rsid w:val="00C46F2E"/>
    <w:rsid w:val="00C5162D"/>
    <w:rsid w:val="00C52C63"/>
    <w:rsid w:val="00C53583"/>
    <w:rsid w:val="00C535C7"/>
    <w:rsid w:val="00C5380E"/>
    <w:rsid w:val="00C57E52"/>
    <w:rsid w:val="00C60A81"/>
    <w:rsid w:val="00C60DC4"/>
    <w:rsid w:val="00C619FE"/>
    <w:rsid w:val="00C61DDD"/>
    <w:rsid w:val="00C621E6"/>
    <w:rsid w:val="00C639B7"/>
    <w:rsid w:val="00C66261"/>
    <w:rsid w:val="00C66374"/>
    <w:rsid w:val="00C679F9"/>
    <w:rsid w:val="00C70397"/>
    <w:rsid w:val="00C7196E"/>
    <w:rsid w:val="00C726EF"/>
    <w:rsid w:val="00C72935"/>
    <w:rsid w:val="00C72E4A"/>
    <w:rsid w:val="00C73942"/>
    <w:rsid w:val="00C74BBB"/>
    <w:rsid w:val="00C752AF"/>
    <w:rsid w:val="00C762B0"/>
    <w:rsid w:val="00C7630E"/>
    <w:rsid w:val="00C764A2"/>
    <w:rsid w:val="00C767BF"/>
    <w:rsid w:val="00C76A91"/>
    <w:rsid w:val="00C76ADD"/>
    <w:rsid w:val="00C76CFA"/>
    <w:rsid w:val="00C807BD"/>
    <w:rsid w:val="00C80BF2"/>
    <w:rsid w:val="00C8371E"/>
    <w:rsid w:val="00C85C52"/>
    <w:rsid w:val="00C86C0B"/>
    <w:rsid w:val="00C90472"/>
    <w:rsid w:val="00C91385"/>
    <w:rsid w:val="00C94072"/>
    <w:rsid w:val="00C95BE8"/>
    <w:rsid w:val="00C962C7"/>
    <w:rsid w:val="00C96BDE"/>
    <w:rsid w:val="00C97F00"/>
    <w:rsid w:val="00CA028F"/>
    <w:rsid w:val="00CA237B"/>
    <w:rsid w:val="00CA292D"/>
    <w:rsid w:val="00CA3024"/>
    <w:rsid w:val="00CA38C9"/>
    <w:rsid w:val="00CA3DDF"/>
    <w:rsid w:val="00CA41F9"/>
    <w:rsid w:val="00CA42F4"/>
    <w:rsid w:val="00CA4A3A"/>
    <w:rsid w:val="00CA5254"/>
    <w:rsid w:val="00CA52B4"/>
    <w:rsid w:val="00CA5877"/>
    <w:rsid w:val="00CA6670"/>
    <w:rsid w:val="00CA686A"/>
    <w:rsid w:val="00CA6DC1"/>
    <w:rsid w:val="00CB1A39"/>
    <w:rsid w:val="00CB1C01"/>
    <w:rsid w:val="00CB6327"/>
    <w:rsid w:val="00CB6686"/>
    <w:rsid w:val="00CB7022"/>
    <w:rsid w:val="00CB7BE6"/>
    <w:rsid w:val="00CC1F0F"/>
    <w:rsid w:val="00CC2006"/>
    <w:rsid w:val="00CC3BA1"/>
    <w:rsid w:val="00CC3C09"/>
    <w:rsid w:val="00CC3D1F"/>
    <w:rsid w:val="00CC44B6"/>
    <w:rsid w:val="00CC6068"/>
    <w:rsid w:val="00CC65E0"/>
    <w:rsid w:val="00CC7620"/>
    <w:rsid w:val="00CC762B"/>
    <w:rsid w:val="00CC7C74"/>
    <w:rsid w:val="00CD0757"/>
    <w:rsid w:val="00CD1055"/>
    <w:rsid w:val="00CD12C3"/>
    <w:rsid w:val="00CD245E"/>
    <w:rsid w:val="00CD40B8"/>
    <w:rsid w:val="00CD454C"/>
    <w:rsid w:val="00CD55C3"/>
    <w:rsid w:val="00CD5CED"/>
    <w:rsid w:val="00CD6CA7"/>
    <w:rsid w:val="00CE0DAE"/>
    <w:rsid w:val="00CE18CD"/>
    <w:rsid w:val="00CE4A43"/>
    <w:rsid w:val="00CE5019"/>
    <w:rsid w:val="00CE6194"/>
    <w:rsid w:val="00CE7B78"/>
    <w:rsid w:val="00CF1A5A"/>
    <w:rsid w:val="00CF218D"/>
    <w:rsid w:val="00CF36CF"/>
    <w:rsid w:val="00CF66A3"/>
    <w:rsid w:val="00CF6B94"/>
    <w:rsid w:val="00CF6F11"/>
    <w:rsid w:val="00D004B1"/>
    <w:rsid w:val="00D015D5"/>
    <w:rsid w:val="00D01E4A"/>
    <w:rsid w:val="00D02686"/>
    <w:rsid w:val="00D04103"/>
    <w:rsid w:val="00D05565"/>
    <w:rsid w:val="00D05EB0"/>
    <w:rsid w:val="00D06149"/>
    <w:rsid w:val="00D06773"/>
    <w:rsid w:val="00D07168"/>
    <w:rsid w:val="00D07849"/>
    <w:rsid w:val="00D1025C"/>
    <w:rsid w:val="00D136DD"/>
    <w:rsid w:val="00D13CFE"/>
    <w:rsid w:val="00D209C6"/>
    <w:rsid w:val="00D213D2"/>
    <w:rsid w:val="00D21BD1"/>
    <w:rsid w:val="00D2240B"/>
    <w:rsid w:val="00D240CE"/>
    <w:rsid w:val="00D25CB8"/>
    <w:rsid w:val="00D2620B"/>
    <w:rsid w:val="00D262A1"/>
    <w:rsid w:val="00D2639A"/>
    <w:rsid w:val="00D27E31"/>
    <w:rsid w:val="00D30254"/>
    <w:rsid w:val="00D31944"/>
    <w:rsid w:val="00D33CF8"/>
    <w:rsid w:val="00D34196"/>
    <w:rsid w:val="00D34611"/>
    <w:rsid w:val="00D35DE3"/>
    <w:rsid w:val="00D3612E"/>
    <w:rsid w:val="00D43155"/>
    <w:rsid w:val="00D43E96"/>
    <w:rsid w:val="00D45841"/>
    <w:rsid w:val="00D45BEE"/>
    <w:rsid w:val="00D46232"/>
    <w:rsid w:val="00D46D3E"/>
    <w:rsid w:val="00D50D79"/>
    <w:rsid w:val="00D5213B"/>
    <w:rsid w:val="00D52389"/>
    <w:rsid w:val="00D5355D"/>
    <w:rsid w:val="00D53966"/>
    <w:rsid w:val="00D53A3D"/>
    <w:rsid w:val="00D5561E"/>
    <w:rsid w:val="00D57AF0"/>
    <w:rsid w:val="00D61F60"/>
    <w:rsid w:val="00D652E7"/>
    <w:rsid w:val="00D65C9B"/>
    <w:rsid w:val="00D67112"/>
    <w:rsid w:val="00D67134"/>
    <w:rsid w:val="00D6787B"/>
    <w:rsid w:val="00D67BD2"/>
    <w:rsid w:val="00D70229"/>
    <w:rsid w:val="00D713C5"/>
    <w:rsid w:val="00D72934"/>
    <w:rsid w:val="00D729A7"/>
    <w:rsid w:val="00D7303E"/>
    <w:rsid w:val="00D732AD"/>
    <w:rsid w:val="00D734CE"/>
    <w:rsid w:val="00D74244"/>
    <w:rsid w:val="00D74489"/>
    <w:rsid w:val="00D74BCA"/>
    <w:rsid w:val="00D7541B"/>
    <w:rsid w:val="00D80062"/>
    <w:rsid w:val="00D8040A"/>
    <w:rsid w:val="00D83C89"/>
    <w:rsid w:val="00D85F92"/>
    <w:rsid w:val="00D8773E"/>
    <w:rsid w:val="00D87750"/>
    <w:rsid w:val="00D87F15"/>
    <w:rsid w:val="00D90B82"/>
    <w:rsid w:val="00D92B29"/>
    <w:rsid w:val="00D93080"/>
    <w:rsid w:val="00D933E6"/>
    <w:rsid w:val="00D959FD"/>
    <w:rsid w:val="00D95AAE"/>
    <w:rsid w:val="00DA0222"/>
    <w:rsid w:val="00DA0607"/>
    <w:rsid w:val="00DA2588"/>
    <w:rsid w:val="00DA3505"/>
    <w:rsid w:val="00DA41A2"/>
    <w:rsid w:val="00DA436E"/>
    <w:rsid w:val="00DA43EE"/>
    <w:rsid w:val="00DA451E"/>
    <w:rsid w:val="00DA56BD"/>
    <w:rsid w:val="00DA5A9B"/>
    <w:rsid w:val="00DA6E54"/>
    <w:rsid w:val="00DB0F12"/>
    <w:rsid w:val="00DB0FF6"/>
    <w:rsid w:val="00DB3BEA"/>
    <w:rsid w:val="00DB3D12"/>
    <w:rsid w:val="00DB4D59"/>
    <w:rsid w:val="00DB54F9"/>
    <w:rsid w:val="00DB671E"/>
    <w:rsid w:val="00DB6D53"/>
    <w:rsid w:val="00DB7597"/>
    <w:rsid w:val="00DB75A1"/>
    <w:rsid w:val="00DB7A4A"/>
    <w:rsid w:val="00DC0239"/>
    <w:rsid w:val="00DC04AD"/>
    <w:rsid w:val="00DC06D4"/>
    <w:rsid w:val="00DC188E"/>
    <w:rsid w:val="00DC2798"/>
    <w:rsid w:val="00DC2FE2"/>
    <w:rsid w:val="00DC3219"/>
    <w:rsid w:val="00DC485D"/>
    <w:rsid w:val="00DC5FED"/>
    <w:rsid w:val="00DC64B2"/>
    <w:rsid w:val="00DD41E1"/>
    <w:rsid w:val="00DD5077"/>
    <w:rsid w:val="00DD5856"/>
    <w:rsid w:val="00DD6242"/>
    <w:rsid w:val="00DD6A76"/>
    <w:rsid w:val="00DD6E18"/>
    <w:rsid w:val="00DD727E"/>
    <w:rsid w:val="00DD72B2"/>
    <w:rsid w:val="00DE0A33"/>
    <w:rsid w:val="00DE47C8"/>
    <w:rsid w:val="00DE72E4"/>
    <w:rsid w:val="00DE72ED"/>
    <w:rsid w:val="00DF06E8"/>
    <w:rsid w:val="00DF1B7C"/>
    <w:rsid w:val="00DF2951"/>
    <w:rsid w:val="00DF29C4"/>
    <w:rsid w:val="00DF3373"/>
    <w:rsid w:val="00DF33C0"/>
    <w:rsid w:val="00DF51B1"/>
    <w:rsid w:val="00DF5DE5"/>
    <w:rsid w:val="00DF6689"/>
    <w:rsid w:val="00E0158B"/>
    <w:rsid w:val="00E01ADE"/>
    <w:rsid w:val="00E031C2"/>
    <w:rsid w:val="00E04717"/>
    <w:rsid w:val="00E04725"/>
    <w:rsid w:val="00E07FAA"/>
    <w:rsid w:val="00E10FDB"/>
    <w:rsid w:val="00E13430"/>
    <w:rsid w:val="00E14426"/>
    <w:rsid w:val="00E14522"/>
    <w:rsid w:val="00E1656C"/>
    <w:rsid w:val="00E169A3"/>
    <w:rsid w:val="00E171B2"/>
    <w:rsid w:val="00E17B1E"/>
    <w:rsid w:val="00E201BB"/>
    <w:rsid w:val="00E20A74"/>
    <w:rsid w:val="00E21F0E"/>
    <w:rsid w:val="00E21FF1"/>
    <w:rsid w:val="00E252B8"/>
    <w:rsid w:val="00E26B8B"/>
    <w:rsid w:val="00E27E35"/>
    <w:rsid w:val="00E3028B"/>
    <w:rsid w:val="00E3424C"/>
    <w:rsid w:val="00E348C7"/>
    <w:rsid w:val="00E35C72"/>
    <w:rsid w:val="00E35CC5"/>
    <w:rsid w:val="00E37AA6"/>
    <w:rsid w:val="00E43033"/>
    <w:rsid w:val="00E45C0C"/>
    <w:rsid w:val="00E46551"/>
    <w:rsid w:val="00E466A9"/>
    <w:rsid w:val="00E469EF"/>
    <w:rsid w:val="00E470D3"/>
    <w:rsid w:val="00E506B0"/>
    <w:rsid w:val="00E508BA"/>
    <w:rsid w:val="00E51324"/>
    <w:rsid w:val="00E51C65"/>
    <w:rsid w:val="00E556CE"/>
    <w:rsid w:val="00E5650F"/>
    <w:rsid w:val="00E56520"/>
    <w:rsid w:val="00E60D5F"/>
    <w:rsid w:val="00E61782"/>
    <w:rsid w:val="00E62A59"/>
    <w:rsid w:val="00E62AAD"/>
    <w:rsid w:val="00E64CD4"/>
    <w:rsid w:val="00E6520D"/>
    <w:rsid w:val="00E6599E"/>
    <w:rsid w:val="00E676BB"/>
    <w:rsid w:val="00E701D9"/>
    <w:rsid w:val="00E71650"/>
    <w:rsid w:val="00E72A47"/>
    <w:rsid w:val="00E73CB9"/>
    <w:rsid w:val="00E7525A"/>
    <w:rsid w:val="00E757DA"/>
    <w:rsid w:val="00E77611"/>
    <w:rsid w:val="00E77897"/>
    <w:rsid w:val="00E809A3"/>
    <w:rsid w:val="00E818EF"/>
    <w:rsid w:val="00E838DC"/>
    <w:rsid w:val="00E84A5C"/>
    <w:rsid w:val="00E86825"/>
    <w:rsid w:val="00E87245"/>
    <w:rsid w:val="00E87932"/>
    <w:rsid w:val="00E87D60"/>
    <w:rsid w:val="00E9074D"/>
    <w:rsid w:val="00E90A26"/>
    <w:rsid w:val="00E917A4"/>
    <w:rsid w:val="00E923C2"/>
    <w:rsid w:val="00E92664"/>
    <w:rsid w:val="00E92F02"/>
    <w:rsid w:val="00E93B2D"/>
    <w:rsid w:val="00E93E2C"/>
    <w:rsid w:val="00E9492C"/>
    <w:rsid w:val="00E9508E"/>
    <w:rsid w:val="00E9511B"/>
    <w:rsid w:val="00E9682A"/>
    <w:rsid w:val="00E96B50"/>
    <w:rsid w:val="00EA0985"/>
    <w:rsid w:val="00EA0AB2"/>
    <w:rsid w:val="00EA171F"/>
    <w:rsid w:val="00EA3916"/>
    <w:rsid w:val="00EA6A06"/>
    <w:rsid w:val="00EA781E"/>
    <w:rsid w:val="00EB0E1F"/>
    <w:rsid w:val="00EB2F82"/>
    <w:rsid w:val="00EB3F64"/>
    <w:rsid w:val="00EB4C8A"/>
    <w:rsid w:val="00EB53B9"/>
    <w:rsid w:val="00EB738E"/>
    <w:rsid w:val="00EC095B"/>
    <w:rsid w:val="00EC0ECA"/>
    <w:rsid w:val="00EC294F"/>
    <w:rsid w:val="00EC2AE6"/>
    <w:rsid w:val="00EC6DB6"/>
    <w:rsid w:val="00ED178A"/>
    <w:rsid w:val="00ED2D87"/>
    <w:rsid w:val="00ED2FC9"/>
    <w:rsid w:val="00ED3A9E"/>
    <w:rsid w:val="00ED53F7"/>
    <w:rsid w:val="00ED54EF"/>
    <w:rsid w:val="00ED5741"/>
    <w:rsid w:val="00ED6B0C"/>
    <w:rsid w:val="00ED6B98"/>
    <w:rsid w:val="00ED781C"/>
    <w:rsid w:val="00EE0C6C"/>
    <w:rsid w:val="00EE1BD7"/>
    <w:rsid w:val="00EE2258"/>
    <w:rsid w:val="00EE2D33"/>
    <w:rsid w:val="00EE4222"/>
    <w:rsid w:val="00EE6708"/>
    <w:rsid w:val="00EF0CB3"/>
    <w:rsid w:val="00EF207C"/>
    <w:rsid w:val="00EF25A7"/>
    <w:rsid w:val="00EF321B"/>
    <w:rsid w:val="00EF463C"/>
    <w:rsid w:val="00EF5642"/>
    <w:rsid w:val="00EF6E02"/>
    <w:rsid w:val="00EF7A66"/>
    <w:rsid w:val="00F008DA"/>
    <w:rsid w:val="00F00A4E"/>
    <w:rsid w:val="00F02EF4"/>
    <w:rsid w:val="00F03FFD"/>
    <w:rsid w:val="00F043F4"/>
    <w:rsid w:val="00F04910"/>
    <w:rsid w:val="00F05C9B"/>
    <w:rsid w:val="00F06BD1"/>
    <w:rsid w:val="00F07099"/>
    <w:rsid w:val="00F075F5"/>
    <w:rsid w:val="00F1017A"/>
    <w:rsid w:val="00F10B97"/>
    <w:rsid w:val="00F1379E"/>
    <w:rsid w:val="00F13A5D"/>
    <w:rsid w:val="00F159BC"/>
    <w:rsid w:val="00F16556"/>
    <w:rsid w:val="00F168A4"/>
    <w:rsid w:val="00F16D0F"/>
    <w:rsid w:val="00F17187"/>
    <w:rsid w:val="00F20102"/>
    <w:rsid w:val="00F20E0D"/>
    <w:rsid w:val="00F21A48"/>
    <w:rsid w:val="00F23480"/>
    <w:rsid w:val="00F24B2B"/>
    <w:rsid w:val="00F260B0"/>
    <w:rsid w:val="00F27FCD"/>
    <w:rsid w:val="00F306A0"/>
    <w:rsid w:val="00F30848"/>
    <w:rsid w:val="00F3164B"/>
    <w:rsid w:val="00F32EC0"/>
    <w:rsid w:val="00F33899"/>
    <w:rsid w:val="00F34AD5"/>
    <w:rsid w:val="00F3570A"/>
    <w:rsid w:val="00F361AF"/>
    <w:rsid w:val="00F36AB3"/>
    <w:rsid w:val="00F378EF"/>
    <w:rsid w:val="00F42565"/>
    <w:rsid w:val="00F42926"/>
    <w:rsid w:val="00F42BF5"/>
    <w:rsid w:val="00F44C5E"/>
    <w:rsid w:val="00F45460"/>
    <w:rsid w:val="00F46F39"/>
    <w:rsid w:val="00F5106C"/>
    <w:rsid w:val="00F53E55"/>
    <w:rsid w:val="00F546CA"/>
    <w:rsid w:val="00F54ACA"/>
    <w:rsid w:val="00F555DA"/>
    <w:rsid w:val="00F55D11"/>
    <w:rsid w:val="00F56484"/>
    <w:rsid w:val="00F56AFF"/>
    <w:rsid w:val="00F56E18"/>
    <w:rsid w:val="00F60356"/>
    <w:rsid w:val="00F61657"/>
    <w:rsid w:val="00F7004B"/>
    <w:rsid w:val="00F7074F"/>
    <w:rsid w:val="00F71615"/>
    <w:rsid w:val="00F77282"/>
    <w:rsid w:val="00F776A0"/>
    <w:rsid w:val="00F77F2E"/>
    <w:rsid w:val="00F80A9B"/>
    <w:rsid w:val="00F81649"/>
    <w:rsid w:val="00F81A7A"/>
    <w:rsid w:val="00F81C20"/>
    <w:rsid w:val="00F82E74"/>
    <w:rsid w:val="00F850C0"/>
    <w:rsid w:val="00F879FD"/>
    <w:rsid w:val="00F90DBF"/>
    <w:rsid w:val="00F91044"/>
    <w:rsid w:val="00F91420"/>
    <w:rsid w:val="00F915D7"/>
    <w:rsid w:val="00F92865"/>
    <w:rsid w:val="00F93159"/>
    <w:rsid w:val="00F954F4"/>
    <w:rsid w:val="00F96EDB"/>
    <w:rsid w:val="00F97534"/>
    <w:rsid w:val="00FA0378"/>
    <w:rsid w:val="00FA281D"/>
    <w:rsid w:val="00FA3287"/>
    <w:rsid w:val="00FA6D19"/>
    <w:rsid w:val="00FA7325"/>
    <w:rsid w:val="00FA79BA"/>
    <w:rsid w:val="00FB02C3"/>
    <w:rsid w:val="00FB1D9B"/>
    <w:rsid w:val="00FB2147"/>
    <w:rsid w:val="00FB214E"/>
    <w:rsid w:val="00FB3514"/>
    <w:rsid w:val="00FB3C1E"/>
    <w:rsid w:val="00FB41D7"/>
    <w:rsid w:val="00FB5A92"/>
    <w:rsid w:val="00FB62D5"/>
    <w:rsid w:val="00FB7C69"/>
    <w:rsid w:val="00FC198A"/>
    <w:rsid w:val="00FC246D"/>
    <w:rsid w:val="00FC3537"/>
    <w:rsid w:val="00FC3FDD"/>
    <w:rsid w:val="00FC5483"/>
    <w:rsid w:val="00FC69F5"/>
    <w:rsid w:val="00FC703F"/>
    <w:rsid w:val="00FC7E81"/>
    <w:rsid w:val="00FD0B39"/>
    <w:rsid w:val="00FD137C"/>
    <w:rsid w:val="00FD1587"/>
    <w:rsid w:val="00FD1651"/>
    <w:rsid w:val="00FD281F"/>
    <w:rsid w:val="00FD3811"/>
    <w:rsid w:val="00FD49BC"/>
    <w:rsid w:val="00FD53B7"/>
    <w:rsid w:val="00FD5792"/>
    <w:rsid w:val="00FD5F86"/>
    <w:rsid w:val="00FD6072"/>
    <w:rsid w:val="00FD6ABB"/>
    <w:rsid w:val="00FE363D"/>
    <w:rsid w:val="00FE3806"/>
    <w:rsid w:val="00FE6DF8"/>
    <w:rsid w:val="00FF0639"/>
    <w:rsid w:val="00FF089A"/>
    <w:rsid w:val="00FF11F6"/>
    <w:rsid w:val="00FF215E"/>
    <w:rsid w:val="00FF3D75"/>
    <w:rsid w:val="00FF4EBA"/>
    <w:rsid w:val="00FF6811"/>
    <w:rsid w:val="00FF68C5"/>
    <w:rsid w:val="6533FF35"/>
    <w:rsid w:val="77A78A9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2"/>
    <w:basedOn w:val="1"/>
    <w:next w:val="1"/>
    <w:link w:val="14"/>
    <w:qFormat/>
    <w:uiPriority w:val="0"/>
    <w:pPr>
      <w:keepNext/>
      <w:keepLines/>
      <w:spacing w:before="260" w:after="260" w:line="416" w:lineRule="auto"/>
      <w:outlineLvl w:val="1"/>
    </w:pPr>
    <w:rPr>
      <w:rFonts w:ascii="Arial" w:hAnsi="Arial" w:eastAsia="黑体"/>
      <w:b/>
      <w:bCs/>
      <w:kern w:val="0"/>
      <w:sz w:val="32"/>
      <w:szCs w:val="32"/>
    </w:rPr>
  </w:style>
  <w:style w:type="paragraph" w:styleId="3">
    <w:name w:val="heading 5"/>
    <w:basedOn w:val="1"/>
    <w:next w:val="1"/>
    <w:link w:val="22"/>
    <w:semiHidden/>
    <w:unhideWhenUsed/>
    <w:qFormat/>
    <w:uiPriority w:val="0"/>
    <w:pPr>
      <w:keepNext/>
      <w:keepLines/>
      <w:spacing w:before="280" w:after="290" w:line="376" w:lineRule="auto"/>
      <w:outlineLvl w:val="4"/>
    </w:pPr>
    <w:rPr>
      <w:b/>
      <w:bCs/>
      <w:sz w:val="28"/>
      <w:szCs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4"/>
    <w:semiHidden/>
    <w:unhideWhenUsed/>
    <w:qFormat/>
    <w:uiPriority w:val="99"/>
    <w:rPr>
      <w:rFonts w:ascii="宋体"/>
      <w:sz w:val="18"/>
      <w:szCs w:val="18"/>
    </w:rPr>
  </w:style>
  <w:style w:type="paragraph" w:styleId="5">
    <w:name w:val="annotation text"/>
    <w:basedOn w:val="1"/>
    <w:link w:val="20"/>
    <w:unhideWhenUsed/>
    <w:qFormat/>
    <w:uiPriority w:val="0"/>
    <w:pPr>
      <w:jc w:val="left"/>
    </w:pPr>
  </w:style>
  <w:style w:type="paragraph" w:styleId="6">
    <w:name w:val="Balloon Text"/>
    <w:basedOn w:val="1"/>
    <w:link w:val="19"/>
    <w:semiHidden/>
    <w:unhideWhenUsed/>
    <w:qFormat/>
    <w:uiPriority w:val="99"/>
    <w:rPr>
      <w:sz w:val="18"/>
      <w:szCs w:val="18"/>
    </w:rPr>
  </w:style>
  <w:style w:type="paragraph" w:styleId="7">
    <w:name w:val="footer"/>
    <w:basedOn w:val="1"/>
    <w:link w:val="15"/>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21"/>
    <w:semiHidden/>
    <w:unhideWhenUsed/>
    <w:qFormat/>
    <w:uiPriority w:val="99"/>
    <w:rPr>
      <w:b/>
      <w:bCs/>
    </w:rPr>
  </w:style>
  <w:style w:type="character" w:styleId="12">
    <w:name w:val="page number"/>
    <w:basedOn w:val="11"/>
    <w:qFormat/>
    <w:uiPriority w:val="0"/>
  </w:style>
  <w:style w:type="character" w:styleId="13">
    <w:name w:val="annotation reference"/>
    <w:basedOn w:val="11"/>
    <w:unhideWhenUsed/>
    <w:qFormat/>
    <w:uiPriority w:val="99"/>
    <w:rPr>
      <w:sz w:val="21"/>
      <w:szCs w:val="21"/>
    </w:rPr>
  </w:style>
  <w:style w:type="character" w:customStyle="1" w:styleId="14">
    <w:name w:val="标题 2 Char"/>
    <w:basedOn w:val="11"/>
    <w:link w:val="2"/>
    <w:qFormat/>
    <w:uiPriority w:val="0"/>
    <w:rPr>
      <w:rFonts w:ascii="Arial" w:hAnsi="Arial" w:eastAsia="黑体" w:cs="Times New Roman"/>
      <w:b/>
      <w:bCs/>
      <w:kern w:val="0"/>
      <w:sz w:val="32"/>
      <w:szCs w:val="32"/>
    </w:rPr>
  </w:style>
  <w:style w:type="character" w:customStyle="1" w:styleId="15">
    <w:name w:val="页脚 Char"/>
    <w:basedOn w:val="11"/>
    <w:link w:val="7"/>
    <w:qFormat/>
    <w:uiPriority w:val="99"/>
    <w:rPr>
      <w:rFonts w:ascii="Times New Roman" w:hAnsi="Times New Roman" w:eastAsia="宋体" w:cs="Times New Roman"/>
      <w:sz w:val="18"/>
      <w:szCs w:val="18"/>
    </w:rPr>
  </w:style>
  <w:style w:type="paragraph" w:styleId="16">
    <w:name w:val="List Paragraph"/>
    <w:basedOn w:val="1"/>
    <w:link w:val="17"/>
    <w:qFormat/>
    <w:uiPriority w:val="0"/>
    <w:pPr>
      <w:ind w:firstLine="420" w:firstLineChars="200"/>
    </w:pPr>
    <w:rPr>
      <w:szCs w:val="24"/>
    </w:rPr>
  </w:style>
  <w:style w:type="character" w:customStyle="1" w:styleId="17">
    <w:name w:val="列出段落 Char"/>
    <w:link w:val="16"/>
    <w:qFormat/>
    <w:uiPriority w:val="0"/>
    <w:rPr>
      <w:rFonts w:ascii="Times New Roman" w:hAnsi="Times New Roman" w:eastAsia="宋体" w:cs="Times New Roman"/>
      <w:szCs w:val="24"/>
    </w:rPr>
  </w:style>
  <w:style w:type="character" w:customStyle="1" w:styleId="18">
    <w:name w:val="页眉 Char"/>
    <w:basedOn w:val="11"/>
    <w:link w:val="8"/>
    <w:qFormat/>
    <w:uiPriority w:val="99"/>
    <w:rPr>
      <w:rFonts w:ascii="Times New Roman" w:hAnsi="Times New Roman" w:eastAsia="宋体" w:cs="Times New Roman"/>
      <w:sz w:val="18"/>
      <w:szCs w:val="18"/>
    </w:rPr>
  </w:style>
  <w:style w:type="character" w:customStyle="1" w:styleId="19">
    <w:name w:val="批注框文本 Char"/>
    <w:basedOn w:val="11"/>
    <w:link w:val="6"/>
    <w:semiHidden/>
    <w:qFormat/>
    <w:uiPriority w:val="99"/>
    <w:rPr>
      <w:rFonts w:ascii="Times New Roman" w:hAnsi="Times New Roman" w:eastAsia="宋体" w:cs="Times New Roman"/>
      <w:sz w:val="18"/>
      <w:szCs w:val="18"/>
    </w:rPr>
  </w:style>
  <w:style w:type="character" w:customStyle="1" w:styleId="20">
    <w:name w:val="批注文字 Char"/>
    <w:basedOn w:val="11"/>
    <w:link w:val="5"/>
    <w:qFormat/>
    <w:uiPriority w:val="0"/>
    <w:rPr>
      <w:rFonts w:ascii="Times New Roman" w:hAnsi="Times New Roman" w:eastAsia="宋体" w:cs="Times New Roman"/>
      <w:szCs w:val="20"/>
    </w:rPr>
  </w:style>
  <w:style w:type="character" w:customStyle="1" w:styleId="21">
    <w:name w:val="批注主题 Char"/>
    <w:basedOn w:val="20"/>
    <w:link w:val="9"/>
    <w:semiHidden/>
    <w:qFormat/>
    <w:uiPriority w:val="99"/>
    <w:rPr>
      <w:rFonts w:ascii="Times New Roman" w:hAnsi="Times New Roman" w:eastAsia="宋体" w:cs="Times New Roman"/>
      <w:b/>
      <w:bCs/>
      <w:szCs w:val="20"/>
    </w:rPr>
  </w:style>
  <w:style w:type="character" w:customStyle="1" w:styleId="22">
    <w:name w:val="标题 5 Char"/>
    <w:basedOn w:val="11"/>
    <w:link w:val="3"/>
    <w:semiHidden/>
    <w:qFormat/>
    <w:uiPriority w:val="0"/>
    <w:rPr>
      <w:rFonts w:ascii="Times New Roman" w:hAnsi="Times New Roman" w:eastAsia="宋体" w:cs="Times New Roman"/>
      <w:b/>
      <w:bCs/>
      <w:sz w:val="28"/>
      <w:szCs w:val="28"/>
    </w:rPr>
  </w:style>
  <w:style w:type="paragraph" w:customStyle="1" w:styleId="23">
    <w:name w:val="Revision"/>
    <w:hidden/>
    <w:semiHidden/>
    <w:qFormat/>
    <w:uiPriority w:val="99"/>
    <w:rPr>
      <w:rFonts w:ascii="Times New Roman" w:hAnsi="Times New Roman" w:eastAsia="宋体" w:cs="Times New Roman"/>
      <w:kern w:val="2"/>
      <w:sz w:val="21"/>
      <w:szCs w:val="20"/>
      <w:lang w:val="en-US" w:eastAsia="zh-CN" w:bidi="ar-SA"/>
    </w:rPr>
  </w:style>
  <w:style w:type="character" w:customStyle="1" w:styleId="24">
    <w:name w:val="文档结构图 Char"/>
    <w:basedOn w:val="11"/>
    <w:link w:val="4"/>
    <w:semiHidden/>
    <w:qFormat/>
    <w:uiPriority w:val="99"/>
    <w:rPr>
      <w:rFonts w:ascii="宋体"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Fifth Edition" SelectedStyle="\APA.XSL"/>
</file>

<file path=customXml/itemProps1.xml><?xml version="1.0" encoding="utf-8"?>
<ds:datastoreItem xmlns:ds="http://schemas.openxmlformats.org/officeDocument/2006/customXml" ds:itemID="{A9E19B80-B9F9-4BEC-88C4-D3B065AED7CA}">
  <ds:schemaRefs/>
</ds:datastoreItem>
</file>

<file path=docProps/app.xml><?xml version="1.0" encoding="utf-8"?>
<Properties xmlns="http://schemas.openxmlformats.org/officeDocument/2006/extended-properties" xmlns:vt="http://schemas.openxmlformats.org/officeDocument/2006/docPropsVTypes">
  <Pages>10</Pages>
  <Words>2021</Words>
  <Characters>11524</Characters>
  <Lines>96</Lines>
  <Paragraphs>27</Paragraphs>
  <TotalTime>2485</TotalTime>
  <ScaleCrop>false</ScaleCrop>
  <LinksUpToDate>false</LinksUpToDate>
  <CharactersWithSpaces>13518</CharactersWithSpaces>
  <Application>WPS Office WWO_wpscloud_20240926194532-29577c7f97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2022-01-11T01:41:00Z</dcterms:created>
  <cp:lastModifiedBy>sy</cp:lastModifiedBy>
  <cp:lastPrinted>2024-11-20T21:58:00Z</cp:lastPrinted>
  <dcterms:modified xsi:type="dcterms:W3CDTF">2025-01-03T16:38:09Z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2BBE215DB27C852AF1A1776772190246_43</vt:lpwstr>
  </property>
</Properties>
</file>