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C5F" w:rsidRPr="000E0C5F" w:rsidRDefault="000E0C5F" w:rsidP="000E0C5F">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0E0C5F">
        <w:rPr>
          <w:rFonts w:ascii="黑体" w:eastAsia="黑体" w:hAnsi="黑体" w:cs="宋体" w:hint="eastAsia"/>
          <w:kern w:val="0"/>
          <w:sz w:val="30"/>
          <w:szCs w:val="30"/>
        </w:rPr>
        <w:t>期货投资者保障基金管理暂行办法</w:t>
      </w:r>
      <w:r w:rsidRPr="000E0C5F">
        <w:rPr>
          <w:rFonts w:ascii="楷体" w:eastAsia="楷体" w:hAnsi="楷体" w:cs="宋体" w:hint="eastAsia"/>
          <w:kern w:val="0"/>
          <w:szCs w:val="24"/>
        </w:rPr>
        <w:t xml:space="preserve"> </w:t>
      </w:r>
    </w:p>
    <w:p w:rsidR="000E0C5F" w:rsidRPr="000E0C5F" w:rsidRDefault="000E0C5F" w:rsidP="000E0C5F">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0E0C5F">
        <w:rPr>
          <w:rFonts w:ascii="黑体" w:eastAsia="黑体" w:hAnsi="黑体" w:cs="宋体" w:hint="eastAsia"/>
          <w:kern w:val="0"/>
          <w:szCs w:val="24"/>
        </w:rPr>
        <w:t>第一章</w:t>
      </w:r>
      <w:r w:rsidRPr="000E0C5F">
        <w:rPr>
          <w:rFonts w:ascii="宋体" w:hAnsi="宋体" w:cs="宋体" w:hint="eastAsia"/>
          <w:kern w:val="0"/>
          <w:szCs w:val="24"/>
        </w:rPr>
        <w:t> </w:t>
      </w:r>
      <w:r w:rsidRPr="000E0C5F">
        <w:rPr>
          <w:rFonts w:ascii="黑体" w:eastAsia="黑体" w:hAnsi="黑体" w:cs="宋体" w:hint="eastAsia"/>
          <w:kern w:val="0"/>
          <w:szCs w:val="24"/>
        </w:rPr>
        <w:t>总</w:t>
      </w:r>
      <w:r w:rsidRPr="000E0C5F">
        <w:rPr>
          <w:rFonts w:ascii="宋体" w:hAnsi="宋体" w:cs="宋体" w:hint="eastAsia"/>
          <w:kern w:val="0"/>
          <w:szCs w:val="24"/>
        </w:rPr>
        <w:t> </w:t>
      </w:r>
      <w:r w:rsidRPr="000E0C5F">
        <w:rPr>
          <w:rFonts w:ascii="黑体" w:eastAsia="黑体" w:hAnsi="黑体" w:cs="宋体" w:hint="eastAsia"/>
          <w:kern w:val="0"/>
          <w:szCs w:val="24"/>
        </w:rPr>
        <w:t>则</w:t>
      </w:r>
      <w:r w:rsidRPr="000E0C5F">
        <w:rPr>
          <w:rFonts w:ascii="楷体" w:eastAsia="楷体" w:hAnsi="楷体" w:cs="宋体" w:hint="eastAsia"/>
          <w:kern w:val="0"/>
          <w:szCs w:val="24"/>
        </w:rPr>
        <w:t xml:space="preserve">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第一条</w:t>
      </w:r>
      <w:r w:rsidRPr="000E0C5F">
        <w:rPr>
          <w:rFonts w:ascii="宋体" w:hAnsi="宋体" w:cs="宋体" w:hint="eastAsia"/>
          <w:kern w:val="0"/>
          <w:szCs w:val="24"/>
        </w:rPr>
        <w:t> </w:t>
      </w:r>
      <w:r w:rsidRPr="000E0C5F">
        <w:rPr>
          <w:rFonts w:ascii="楷体" w:eastAsia="楷体" w:hAnsi="楷体" w:cs="宋体" w:hint="eastAsia"/>
          <w:kern w:val="0"/>
          <w:szCs w:val="24"/>
        </w:rPr>
        <w:t xml:space="preserve">为保护期货投资者的合法权益，根据《期货交易管理条例》，制定本办法。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第二条</w:t>
      </w:r>
      <w:r w:rsidRPr="000E0C5F">
        <w:rPr>
          <w:rFonts w:ascii="宋体" w:hAnsi="宋体" w:cs="宋体" w:hint="eastAsia"/>
          <w:kern w:val="0"/>
          <w:szCs w:val="24"/>
        </w:rPr>
        <w:t> </w:t>
      </w:r>
      <w:r w:rsidRPr="000E0C5F">
        <w:rPr>
          <w:rFonts w:ascii="楷体" w:eastAsia="楷体" w:hAnsi="楷体" w:cs="宋体" w:hint="eastAsia"/>
          <w:kern w:val="0"/>
          <w:szCs w:val="24"/>
        </w:rPr>
        <w:t xml:space="preserve">期货投资者保障基金（以下简称保障基金）是在期货公司严重违法违规或者风险控制不力等导致保证金出现缺口，可能严重危及社会稳定和期货市场安全时，补偿投资者保证金损失的专项基金。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第三条</w:t>
      </w:r>
      <w:r w:rsidRPr="000E0C5F">
        <w:rPr>
          <w:rFonts w:ascii="宋体" w:hAnsi="宋体" w:cs="宋体" w:hint="eastAsia"/>
          <w:kern w:val="0"/>
          <w:szCs w:val="24"/>
        </w:rPr>
        <w:t> </w:t>
      </w:r>
      <w:r w:rsidRPr="000E0C5F">
        <w:rPr>
          <w:rFonts w:ascii="楷体" w:eastAsia="楷体" w:hAnsi="楷体" w:cs="宋体" w:hint="eastAsia"/>
          <w:kern w:val="0"/>
          <w:szCs w:val="24"/>
        </w:rPr>
        <w:t xml:space="preserve">期货交易活动实行公开、公平、公正和投资者投资决策自主、投资风险自担的原则。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 xml:space="preserve">投资者在期货投资活动中因期货市场波动或者投资品种价值本身发生变化所导致的损失，由投资者自行负担。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第四条</w:t>
      </w:r>
      <w:r w:rsidRPr="000E0C5F">
        <w:rPr>
          <w:rFonts w:ascii="宋体" w:hAnsi="宋体" w:cs="宋体" w:hint="eastAsia"/>
          <w:kern w:val="0"/>
          <w:szCs w:val="24"/>
        </w:rPr>
        <w:t> </w:t>
      </w:r>
      <w:r w:rsidRPr="000E0C5F">
        <w:rPr>
          <w:rFonts w:ascii="楷体" w:eastAsia="楷体" w:hAnsi="楷体" w:cs="宋体" w:hint="eastAsia"/>
          <w:kern w:val="0"/>
          <w:szCs w:val="24"/>
        </w:rPr>
        <w:t xml:space="preserve">保障基金按照取之于市场、用之于市场的原则筹集。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第五条</w:t>
      </w:r>
      <w:r w:rsidRPr="000E0C5F">
        <w:rPr>
          <w:rFonts w:ascii="宋体" w:hAnsi="宋体" w:cs="宋体" w:hint="eastAsia"/>
          <w:kern w:val="0"/>
          <w:szCs w:val="24"/>
        </w:rPr>
        <w:t> </w:t>
      </w:r>
      <w:r w:rsidRPr="000E0C5F">
        <w:rPr>
          <w:rFonts w:ascii="楷体" w:eastAsia="楷体" w:hAnsi="楷体" w:cs="宋体" w:hint="eastAsia"/>
          <w:kern w:val="0"/>
          <w:szCs w:val="24"/>
        </w:rPr>
        <w:t xml:space="preserve">保障基金由中国证监会集中管理、统筹使用。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第六条</w:t>
      </w:r>
      <w:r w:rsidRPr="000E0C5F">
        <w:rPr>
          <w:rFonts w:ascii="宋体" w:hAnsi="宋体" w:cs="宋体" w:hint="eastAsia"/>
          <w:kern w:val="0"/>
          <w:szCs w:val="24"/>
        </w:rPr>
        <w:t> </w:t>
      </w:r>
      <w:r w:rsidRPr="000E0C5F">
        <w:rPr>
          <w:rFonts w:ascii="楷体" w:eastAsia="楷体" w:hAnsi="楷体" w:cs="宋体" w:hint="eastAsia"/>
          <w:kern w:val="0"/>
          <w:szCs w:val="24"/>
        </w:rPr>
        <w:t xml:space="preserve">保障基金的管理和运用遵循公开、合理、有效的原则。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第七条</w:t>
      </w:r>
      <w:r w:rsidRPr="000E0C5F">
        <w:rPr>
          <w:rFonts w:ascii="宋体" w:hAnsi="宋体" w:cs="宋体" w:hint="eastAsia"/>
          <w:kern w:val="0"/>
          <w:szCs w:val="24"/>
        </w:rPr>
        <w:t> </w:t>
      </w:r>
      <w:r w:rsidRPr="000E0C5F">
        <w:rPr>
          <w:rFonts w:ascii="楷体" w:eastAsia="楷体" w:hAnsi="楷体" w:cs="宋体" w:hint="eastAsia"/>
          <w:kern w:val="0"/>
          <w:szCs w:val="24"/>
        </w:rPr>
        <w:t xml:space="preserve">保障基金的使用遵循保障投资者合法权益和公平救助原则，实行比例补偿。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宋体" w:hAnsi="宋体" w:cs="宋体" w:hint="eastAsia"/>
          <w:kern w:val="0"/>
          <w:szCs w:val="24"/>
        </w:rPr>
        <w:t> </w:t>
      </w:r>
    </w:p>
    <w:p w:rsidR="000E0C5F" w:rsidRPr="000E0C5F" w:rsidRDefault="000E0C5F" w:rsidP="000E0C5F">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0E0C5F">
        <w:rPr>
          <w:rFonts w:ascii="黑体" w:eastAsia="黑体" w:hAnsi="黑体" w:cs="宋体" w:hint="eastAsia"/>
          <w:kern w:val="0"/>
          <w:szCs w:val="24"/>
        </w:rPr>
        <w:t>第二章</w:t>
      </w:r>
      <w:r w:rsidRPr="000E0C5F">
        <w:rPr>
          <w:rFonts w:ascii="宋体" w:hAnsi="宋体" w:cs="宋体" w:hint="eastAsia"/>
          <w:kern w:val="0"/>
          <w:szCs w:val="24"/>
        </w:rPr>
        <w:t> </w:t>
      </w:r>
      <w:r w:rsidRPr="000E0C5F">
        <w:rPr>
          <w:rFonts w:ascii="黑体" w:eastAsia="黑体" w:hAnsi="黑体" w:cs="宋体" w:hint="eastAsia"/>
          <w:kern w:val="0"/>
          <w:szCs w:val="24"/>
        </w:rPr>
        <w:t>保障基金的筹集</w:t>
      </w:r>
      <w:r w:rsidRPr="000E0C5F">
        <w:rPr>
          <w:rFonts w:ascii="楷体" w:eastAsia="楷体" w:hAnsi="楷体" w:cs="宋体" w:hint="eastAsia"/>
          <w:kern w:val="0"/>
          <w:szCs w:val="24"/>
        </w:rPr>
        <w:t xml:space="preserve">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第八条</w:t>
      </w:r>
      <w:r w:rsidRPr="000E0C5F">
        <w:rPr>
          <w:rFonts w:ascii="宋体" w:hAnsi="宋体" w:cs="宋体" w:hint="eastAsia"/>
          <w:kern w:val="0"/>
          <w:szCs w:val="24"/>
        </w:rPr>
        <w:t> </w:t>
      </w:r>
      <w:r w:rsidRPr="000E0C5F">
        <w:rPr>
          <w:rFonts w:ascii="楷体" w:eastAsia="楷体" w:hAnsi="楷体" w:cs="宋体" w:hint="eastAsia"/>
          <w:kern w:val="0"/>
          <w:szCs w:val="24"/>
        </w:rPr>
        <w:t xml:space="preserve">保障基金管理机构应当以保障基金名义设立资金专用账户，专户存储保障基金。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第九条</w:t>
      </w:r>
      <w:r w:rsidRPr="000E0C5F">
        <w:rPr>
          <w:rFonts w:ascii="宋体" w:hAnsi="宋体" w:cs="宋体" w:hint="eastAsia"/>
          <w:kern w:val="0"/>
          <w:szCs w:val="24"/>
        </w:rPr>
        <w:t> </w:t>
      </w:r>
      <w:r w:rsidRPr="000E0C5F">
        <w:rPr>
          <w:rFonts w:ascii="楷体" w:eastAsia="楷体" w:hAnsi="楷体" w:cs="宋体" w:hint="eastAsia"/>
          <w:kern w:val="0"/>
          <w:szCs w:val="24"/>
        </w:rPr>
        <w:t xml:space="preserve">保障基金的启动资金由期货交易所从其积累的风险准备金中按照截至2006年12月31日风险准备金账户总额的百分之十五缴纳形成。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 xml:space="preserve">保障基金的后续资金来源包括：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 xml:space="preserve">（一）期货交易所按其向期货公司会员收取的交易手续费的百分之三缴纳；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 xml:space="preserve">（二）期货公司从其收取的交易手续费中按照代理交易额的千万分之五至十的比例缴纳；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 xml:space="preserve">（三）保障基金管理机构追偿或者接受的其他合法财产。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lastRenderedPageBreak/>
        <w:t xml:space="preserve">对于因财务状况恶化、风险控制不力等存在较高风险的期货公司，应当按照较高比例缴纳保障基金，各期货公司的具体缴纳比例由中国证监会根据期货公司风险状况确定。期货交易所、期货公司缴纳的保障基金在其营业成本中列支。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第十条</w:t>
      </w:r>
      <w:r w:rsidRPr="000E0C5F">
        <w:rPr>
          <w:rFonts w:ascii="宋体" w:hAnsi="宋体" w:cs="宋体" w:hint="eastAsia"/>
          <w:kern w:val="0"/>
          <w:szCs w:val="24"/>
        </w:rPr>
        <w:t> </w:t>
      </w:r>
      <w:r w:rsidRPr="000E0C5F">
        <w:rPr>
          <w:rFonts w:ascii="楷体" w:eastAsia="楷体" w:hAnsi="楷体" w:cs="宋体" w:hint="eastAsia"/>
          <w:kern w:val="0"/>
          <w:szCs w:val="24"/>
        </w:rPr>
        <w:t xml:space="preserve">期货交易所应当在本办法实施之日起1个月内，将应当缴纳的启动资金划入保障基金专户。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 xml:space="preserve">期货交易所、期货公司应当按季度缴纳后续资金。期货交易所应当在每季度结束后15个工作日内，缴纳前一季度应当缴纳的保障基金，并按照本办法第九条确定的比例代扣代缴期货公司应当缴纳的保障基金。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第十一条</w:t>
      </w:r>
      <w:r w:rsidRPr="000E0C5F">
        <w:rPr>
          <w:rFonts w:ascii="宋体" w:hAnsi="宋体" w:cs="宋体" w:hint="eastAsia"/>
          <w:kern w:val="0"/>
          <w:szCs w:val="24"/>
        </w:rPr>
        <w:t> </w:t>
      </w:r>
      <w:r w:rsidRPr="000E0C5F">
        <w:rPr>
          <w:rFonts w:ascii="楷体" w:eastAsia="楷体" w:hAnsi="楷体" w:cs="宋体" w:hint="eastAsia"/>
          <w:kern w:val="0"/>
          <w:szCs w:val="24"/>
        </w:rPr>
        <w:t xml:space="preserve">有下列情形之一的，经中国证监会、财政部批准，期货交易所、期货公司可以暂停缴纳保障基金：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 xml:space="preserve">（一）保障基金总额达到8亿元人民币；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 xml:space="preserve">（二）期货交易所、期货公司遭受重大突发市场风险或者不可抗力。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 xml:space="preserve">保障基金的规模、缴纳比例和缴纳方式，由中国证监会根据期货市场发展状况、市场风险水平等情况调整确定。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第十二条</w:t>
      </w:r>
      <w:r w:rsidRPr="000E0C5F">
        <w:rPr>
          <w:rFonts w:ascii="宋体" w:hAnsi="宋体" w:cs="宋体" w:hint="eastAsia"/>
          <w:kern w:val="0"/>
          <w:szCs w:val="24"/>
        </w:rPr>
        <w:t> </w:t>
      </w:r>
      <w:r w:rsidRPr="000E0C5F">
        <w:rPr>
          <w:rFonts w:ascii="楷体" w:eastAsia="楷体" w:hAnsi="楷体" w:cs="宋体" w:hint="eastAsia"/>
          <w:kern w:val="0"/>
          <w:szCs w:val="24"/>
        </w:rPr>
        <w:t xml:space="preserve">鼓励保障基金来源多元化，保障基金可以接受社会捐赠和其他合法财产。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保障基金产生的利息以及运用所产生的各种收益等</w:t>
      </w:r>
      <w:proofErr w:type="gramStart"/>
      <w:r w:rsidRPr="000E0C5F">
        <w:rPr>
          <w:rFonts w:ascii="楷体" w:eastAsia="楷体" w:hAnsi="楷体" w:cs="宋体" w:hint="eastAsia"/>
          <w:kern w:val="0"/>
          <w:szCs w:val="24"/>
        </w:rPr>
        <w:t>孳</w:t>
      </w:r>
      <w:proofErr w:type="gramEnd"/>
      <w:r w:rsidRPr="000E0C5F">
        <w:rPr>
          <w:rFonts w:ascii="楷体" w:eastAsia="楷体" w:hAnsi="楷体" w:cs="宋体" w:hint="eastAsia"/>
          <w:kern w:val="0"/>
          <w:szCs w:val="24"/>
        </w:rPr>
        <w:t xml:space="preserve">息归属保障基金。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宋体" w:hAnsi="宋体" w:cs="宋体" w:hint="eastAsia"/>
          <w:kern w:val="0"/>
          <w:szCs w:val="24"/>
        </w:rPr>
        <w:t> </w:t>
      </w:r>
    </w:p>
    <w:p w:rsidR="000E0C5F" w:rsidRPr="000E0C5F" w:rsidRDefault="000E0C5F" w:rsidP="000E0C5F">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0E0C5F">
        <w:rPr>
          <w:rFonts w:ascii="黑体" w:eastAsia="黑体" w:hAnsi="黑体" w:cs="宋体" w:hint="eastAsia"/>
          <w:kern w:val="0"/>
          <w:szCs w:val="24"/>
        </w:rPr>
        <w:t>第三章</w:t>
      </w:r>
      <w:r w:rsidRPr="000E0C5F">
        <w:rPr>
          <w:rFonts w:ascii="宋体" w:hAnsi="宋体" w:cs="宋体" w:hint="eastAsia"/>
          <w:kern w:val="0"/>
          <w:szCs w:val="24"/>
        </w:rPr>
        <w:t> </w:t>
      </w:r>
      <w:r w:rsidRPr="000E0C5F">
        <w:rPr>
          <w:rFonts w:ascii="黑体" w:eastAsia="黑体" w:hAnsi="黑体" w:cs="宋体" w:hint="eastAsia"/>
          <w:kern w:val="0"/>
          <w:szCs w:val="24"/>
        </w:rPr>
        <w:t>保障基金的管理和监管</w:t>
      </w:r>
      <w:r w:rsidRPr="000E0C5F">
        <w:rPr>
          <w:rFonts w:ascii="楷体" w:eastAsia="楷体" w:hAnsi="楷体" w:cs="宋体" w:hint="eastAsia"/>
          <w:kern w:val="0"/>
          <w:szCs w:val="24"/>
        </w:rPr>
        <w:t xml:space="preserve">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第十三条</w:t>
      </w:r>
      <w:r w:rsidRPr="000E0C5F">
        <w:rPr>
          <w:rFonts w:ascii="宋体" w:hAnsi="宋体" w:cs="宋体" w:hint="eastAsia"/>
          <w:kern w:val="0"/>
          <w:szCs w:val="24"/>
        </w:rPr>
        <w:t> </w:t>
      </w:r>
      <w:r w:rsidRPr="000E0C5F">
        <w:rPr>
          <w:rFonts w:ascii="楷体" w:eastAsia="楷体" w:hAnsi="楷体" w:cs="宋体" w:hint="eastAsia"/>
          <w:kern w:val="0"/>
          <w:szCs w:val="24"/>
        </w:rPr>
        <w:t>中国证监会、财政部可以指定相关机构作为保障基金管理机构，代为管理保障基金。</w:t>
      </w:r>
      <w:r w:rsidRPr="000E0C5F">
        <w:rPr>
          <w:rFonts w:ascii="宋体" w:hAnsi="宋体" w:cs="宋体" w:hint="eastAsia"/>
          <w:kern w:val="0"/>
          <w:szCs w:val="24"/>
        </w:rPr>
        <w:t> </w:t>
      </w:r>
      <w:r w:rsidRPr="000E0C5F">
        <w:rPr>
          <w:rFonts w:ascii="楷体" w:eastAsia="楷体" w:hAnsi="楷体" w:cs="楷体" w:hint="eastAsia"/>
          <w:kern w:val="0"/>
          <w:szCs w:val="24"/>
        </w:rPr>
        <w:t xml:space="preserve">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第十四条</w:t>
      </w:r>
      <w:r w:rsidRPr="000E0C5F">
        <w:rPr>
          <w:rFonts w:ascii="宋体" w:hAnsi="宋体" w:cs="宋体" w:hint="eastAsia"/>
          <w:kern w:val="0"/>
          <w:szCs w:val="24"/>
        </w:rPr>
        <w:t> </w:t>
      </w:r>
      <w:r w:rsidRPr="000E0C5F">
        <w:rPr>
          <w:rFonts w:ascii="楷体" w:eastAsia="楷体" w:hAnsi="楷体" w:cs="宋体" w:hint="eastAsia"/>
          <w:kern w:val="0"/>
          <w:szCs w:val="24"/>
        </w:rPr>
        <w:t xml:space="preserve">对保障基金的管理应当遵循安全、稳健的原则，保证保障基金的安全。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 xml:space="preserve">保障基金的资金运用限于银行存款、购买国债、中央银行债券（包括中央银行票据）和中央级金融机构发行的金融债券，以及中国证监会和财政部批准的其他资金运用方式。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第十五条</w:t>
      </w:r>
      <w:r w:rsidRPr="000E0C5F">
        <w:rPr>
          <w:rFonts w:ascii="宋体" w:hAnsi="宋体" w:cs="宋体" w:hint="eastAsia"/>
          <w:kern w:val="0"/>
          <w:szCs w:val="24"/>
        </w:rPr>
        <w:t> </w:t>
      </w:r>
      <w:r w:rsidRPr="000E0C5F">
        <w:rPr>
          <w:rFonts w:ascii="楷体" w:eastAsia="楷体" w:hAnsi="楷体" w:cs="宋体" w:hint="eastAsia"/>
          <w:kern w:val="0"/>
          <w:szCs w:val="24"/>
        </w:rPr>
        <w:t xml:space="preserve">保障基金应当实行独立核算，分别管理，并与保障基金管理机构管理的其他资产有效隔离。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保障基金管理机构应当定期</w:t>
      </w:r>
      <w:proofErr w:type="gramStart"/>
      <w:r w:rsidRPr="000E0C5F">
        <w:rPr>
          <w:rFonts w:ascii="楷体" w:eastAsia="楷体" w:hAnsi="楷体" w:cs="宋体" w:hint="eastAsia"/>
          <w:kern w:val="0"/>
          <w:szCs w:val="24"/>
        </w:rPr>
        <w:t>编报保障</w:t>
      </w:r>
      <w:proofErr w:type="gramEnd"/>
      <w:r w:rsidRPr="000E0C5F">
        <w:rPr>
          <w:rFonts w:ascii="楷体" w:eastAsia="楷体" w:hAnsi="楷体" w:cs="宋体" w:hint="eastAsia"/>
          <w:kern w:val="0"/>
          <w:szCs w:val="24"/>
        </w:rPr>
        <w:t xml:space="preserve">基金的筹集、管理、使用报告，经会计师事务所审计后，报送中国证监会和财政部。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lastRenderedPageBreak/>
        <w:t>第十六条</w:t>
      </w:r>
      <w:r w:rsidRPr="000E0C5F">
        <w:rPr>
          <w:rFonts w:ascii="宋体" w:hAnsi="宋体" w:cs="宋体" w:hint="eastAsia"/>
          <w:kern w:val="0"/>
          <w:szCs w:val="24"/>
        </w:rPr>
        <w:t> </w:t>
      </w:r>
      <w:r w:rsidRPr="000E0C5F">
        <w:rPr>
          <w:rFonts w:ascii="楷体" w:eastAsia="楷体" w:hAnsi="楷体" w:cs="宋体" w:hint="eastAsia"/>
          <w:kern w:val="0"/>
          <w:szCs w:val="24"/>
        </w:rPr>
        <w:t xml:space="preserve">保障基金管理机构、期货交易所及期货公司，应当妥善保存有关保障基金的财务凭证、账簿和报表等资料，确保财务记录和档案完整、真实。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第十七条</w:t>
      </w:r>
      <w:r w:rsidRPr="000E0C5F">
        <w:rPr>
          <w:rFonts w:ascii="宋体" w:hAnsi="宋体" w:cs="宋体" w:hint="eastAsia"/>
          <w:kern w:val="0"/>
          <w:szCs w:val="24"/>
        </w:rPr>
        <w:t> </w:t>
      </w:r>
      <w:r w:rsidRPr="000E0C5F">
        <w:rPr>
          <w:rFonts w:ascii="楷体" w:eastAsia="楷体" w:hAnsi="楷体" w:cs="宋体" w:hint="eastAsia"/>
          <w:kern w:val="0"/>
          <w:szCs w:val="24"/>
        </w:rPr>
        <w:t xml:space="preserve">财政部负责保障基金财务监管。保障基金的年度收支计划和决算报财政部批准。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第十八条</w:t>
      </w:r>
      <w:r w:rsidRPr="000E0C5F">
        <w:rPr>
          <w:rFonts w:ascii="宋体" w:hAnsi="宋体" w:cs="宋体" w:hint="eastAsia"/>
          <w:kern w:val="0"/>
          <w:szCs w:val="24"/>
        </w:rPr>
        <w:t> </w:t>
      </w:r>
      <w:r w:rsidRPr="000E0C5F">
        <w:rPr>
          <w:rFonts w:ascii="楷体" w:eastAsia="楷体" w:hAnsi="楷体" w:cs="宋体" w:hint="eastAsia"/>
          <w:kern w:val="0"/>
          <w:szCs w:val="24"/>
        </w:rPr>
        <w:t xml:space="preserve">中国证监会负责保障基金业务监管，对保障基金的筹集、管理和使用等情况进行定期核查。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中国证监会定期</w:t>
      </w:r>
      <w:proofErr w:type="gramStart"/>
      <w:r w:rsidRPr="000E0C5F">
        <w:rPr>
          <w:rFonts w:ascii="楷体" w:eastAsia="楷体" w:hAnsi="楷体" w:cs="宋体" w:hint="eastAsia"/>
          <w:kern w:val="0"/>
          <w:szCs w:val="24"/>
        </w:rPr>
        <w:t>向保障</w:t>
      </w:r>
      <w:proofErr w:type="gramEnd"/>
      <w:r w:rsidRPr="000E0C5F">
        <w:rPr>
          <w:rFonts w:ascii="楷体" w:eastAsia="楷体" w:hAnsi="楷体" w:cs="宋体" w:hint="eastAsia"/>
          <w:kern w:val="0"/>
          <w:szCs w:val="24"/>
        </w:rPr>
        <w:t>基金管理机构通报期货公司总体风险状况。存在较高风险的期货公司应当每月</w:t>
      </w:r>
      <w:proofErr w:type="gramStart"/>
      <w:r w:rsidRPr="000E0C5F">
        <w:rPr>
          <w:rFonts w:ascii="楷体" w:eastAsia="楷体" w:hAnsi="楷体" w:cs="宋体" w:hint="eastAsia"/>
          <w:kern w:val="0"/>
          <w:szCs w:val="24"/>
        </w:rPr>
        <w:t>向保障</w:t>
      </w:r>
      <w:proofErr w:type="gramEnd"/>
      <w:r w:rsidRPr="000E0C5F">
        <w:rPr>
          <w:rFonts w:ascii="楷体" w:eastAsia="楷体" w:hAnsi="楷体" w:cs="宋体" w:hint="eastAsia"/>
          <w:kern w:val="0"/>
          <w:szCs w:val="24"/>
        </w:rPr>
        <w:t xml:space="preserve">基金管理机构提供财务监管报表。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宋体" w:hAnsi="宋体" w:cs="宋体" w:hint="eastAsia"/>
          <w:kern w:val="0"/>
          <w:szCs w:val="24"/>
        </w:rPr>
        <w:t> </w:t>
      </w:r>
    </w:p>
    <w:p w:rsidR="000E0C5F" w:rsidRPr="000E0C5F" w:rsidRDefault="000E0C5F" w:rsidP="000E0C5F">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0E0C5F">
        <w:rPr>
          <w:rFonts w:ascii="黑体" w:eastAsia="黑体" w:hAnsi="黑体" w:cs="宋体" w:hint="eastAsia"/>
          <w:kern w:val="0"/>
          <w:szCs w:val="24"/>
        </w:rPr>
        <w:t>第四章</w:t>
      </w:r>
      <w:r w:rsidRPr="000E0C5F">
        <w:rPr>
          <w:rFonts w:ascii="宋体" w:hAnsi="宋体" w:cs="宋体" w:hint="eastAsia"/>
          <w:kern w:val="0"/>
          <w:szCs w:val="24"/>
        </w:rPr>
        <w:t> </w:t>
      </w:r>
      <w:r w:rsidRPr="000E0C5F">
        <w:rPr>
          <w:rFonts w:ascii="黑体" w:eastAsia="黑体" w:hAnsi="黑体" w:cs="宋体" w:hint="eastAsia"/>
          <w:kern w:val="0"/>
          <w:szCs w:val="24"/>
        </w:rPr>
        <w:t>保障基金的使用</w:t>
      </w:r>
      <w:r w:rsidRPr="000E0C5F">
        <w:rPr>
          <w:rFonts w:ascii="楷体" w:eastAsia="楷体" w:hAnsi="楷体" w:cs="宋体" w:hint="eastAsia"/>
          <w:kern w:val="0"/>
          <w:szCs w:val="24"/>
        </w:rPr>
        <w:t xml:space="preserve">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第十九条</w:t>
      </w:r>
      <w:r w:rsidRPr="000E0C5F">
        <w:rPr>
          <w:rFonts w:ascii="宋体" w:hAnsi="宋体" w:cs="宋体" w:hint="eastAsia"/>
          <w:kern w:val="0"/>
          <w:szCs w:val="24"/>
        </w:rPr>
        <w:t> </w:t>
      </w:r>
      <w:r w:rsidRPr="000E0C5F">
        <w:rPr>
          <w:rFonts w:ascii="楷体" w:eastAsia="楷体" w:hAnsi="楷体" w:cs="宋体" w:hint="eastAsia"/>
          <w:kern w:val="0"/>
          <w:szCs w:val="24"/>
        </w:rPr>
        <w:t xml:space="preserve">期货公司因严重违法违规或者风险控制不力等导致保证金出现缺口的，中国证监会可以按照本办法规定决定使用保障基金，对不能清偿的投资者保证金损失予以补偿。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第二十条</w:t>
      </w:r>
      <w:r w:rsidRPr="000E0C5F">
        <w:rPr>
          <w:rFonts w:ascii="宋体" w:hAnsi="宋体" w:cs="宋体" w:hint="eastAsia"/>
          <w:kern w:val="0"/>
          <w:szCs w:val="24"/>
        </w:rPr>
        <w:t> </w:t>
      </w:r>
      <w:r w:rsidRPr="000E0C5F">
        <w:rPr>
          <w:rFonts w:ascii="楷体" w:eastAsia="楷体" w:hAnsi="楷体" w:cs="宋体" w:hint="eastAsia"/>
          <w:kern w:val="0"/>
          <w:szCs w:val="24"/>
        </w:rPr>
        <w:t xml:space="preserve">对期货投资者的保证金损失，保障基金按照下列原则予以补偿：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（一）对每位个人投资者的保证金损失在10万元以下（含10万元）的部分全额补偿，超过10万元的部分按百分之九十补偿；</w:t>
      </w:r>
      <w:r w:rsidRPr="000E0C5F">
        <w:rPr>
          <w:rFonts w:ascii="宋体" w:hAnsi="宋体" w:cs="宋体" w:hint="eastAsia"/>
          <w:kern w:val="0"/>
          <w:szCs w:val="24"/>
        </w:rPr>
        <w:t> </w:t>
      </w:r>
      <w:r w:rsidRPr="000E0C5F">
        <w:rPr>
          <w:rFonts w:ascii="楷体" w:eastAsia="楷体" w:hAnsi="楷体" w:cs="楷体" w:hint="eastAsia"/>
          <w:kern w:val="0"/>
          <w:szCs w:val="24"/>
        </w:rPr>
        <w:t xml:space="preserve">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 xml:space="preserve">（二）对每位机构投资者的保证金损失在10万元以下（含10万元）的部分全额补偿，超过10万元的部分按百分之八十补偿。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 xml:space="preserve">现有保障基金不足补偿的，由后续缴纳的保障基金补偿。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第二十一条</w:t>
      </w:r>
      <w:r w:rsidRPr="000E0C5F">
        <w:rPr>
          <w:rFonts w:ascii="宋体" w:hAnsi="宋体" w:cs="宋体" w:hint="eastAsia"/>
          <w:kern w:val="0"/>
          <w:szCs w:val="24"/>
        </w:rPr>
        <w:t> </w:t>
      </w:r>
      <w:r w:rsidRPr="000E0C5F">
        <w:rPr>
          <w:rFonts w:ascii="楷体" w:eastAsia="楷体" w:hAnsi="楷体" w:cs="宋体" w:hint="eastAsia"/>
          <w:kern w:val="0"/>
          <w:szCs w:val="24"/>
        </w:rPr>
        <w:t xml:space="preserve">使用保障基金前，中国证监会和保障基金管理机构应当监督期货公司核实投资者保证金权益及损失，积极清理资产并变现处置，应当先以自有资金和变现资产弥补保证金缺口。不足弥补或者情况危急的，方能决定使用保障基金。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第二十二条</w:t>
      </w:r>
      <w:r w:rsidRPr="000E0C5F">
        <w:rPr>
          <w:rFonts w:ascii="宋体" w:hAnsi="宋体" w:cs="宋体" w:hint="eastAsia"/>
          <w:kern w:val="0"/>
          <w:szCs w:val="24"/>
        </w:rPr>
        <w:t> </w:t>
      </w:r>
      <w:r w:rsidRPr="000E0C5F">
        <w:rPr>
          <w:rFonts w:ascii="楷体" w:eastAsia="楷体" w:hAnsi="楷体" w:cs="宋体" w:hint="eastAsia"/>
          <w:kern w:val="0"/>
          <w:szCs w:val="24"/>
        </w:rPr>
        <w:t>对投资者因参与非法期货交易而遭受的保证金损失，保障基金不予补偿。</w:t>
      </w:r>
      <w:r w:rsidRPr="000E0C5F">
        <w:rPr>
          <w:rFonts w:ascii="宋体" w:hAnsi="宋体" w:cs="宋体" w:hint="eastAsia"/>
          <w:kern w:val="0"/>
          <w:szCs w:val="24"/>
        </w:rPr>
        <w:t> </w:t>
      </w:r>
      <w:r w:rsidRPr="000E0C5F">
        <w:rPr>
          <w:rFonts w:ascii="楷体" w:eastAsia="楷体" w:hAnsi="楷体" w:cs="楷体" w:hint="eastAsia"/>
          <w:kern w:val="0"/>
          <w:szCs w:val="24"/>
        </w:rPr>
        <w:t xml:space="preserve">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 xml:space="preserve">对机构投资者以个人名义参与期货交易的，按照机构投资者补偿规则进行补偿。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第二十三条</w:t>
      </w:r>
      <w:r w:rsidRPr="000E0C5F">
        <w:rPr>
          <w:rFonts w:ascii="宋体" w:hAnsi="宋体" w:cs="宋体" w:hint="eastAsia"/>
          <w:kern w:val="0"/>
          <w:szCs w:val="24"/>
        </w:rPr>
        <w:t> </w:t>
      </w:r>
      <w:r w:rsidRPr="000E0C5F">
        <w:rPr>
          <w:rFonts w:ascii="楷体" w:eastAsia="楷体" w:hAnsi="楷体" w:cs="宋体" w:hint="eastAsia"/>
          <w:kern w:val="0"/>
          <w:szCs w:val="24"/>
        </w:rPr>
        <w:t xml:space="preserve">动用保障基金对期货投资者的保证金损失进行补偿后，保障基金管理机构依法取得相应的受偿权，可以依法参与期货公司清算。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第二十四条</w:t>
      </w:r>
      <w:r w:rsidRPr="000E0C5F">
        <w:rPr>
          <w:rFonts w:ascii="宋体" w:hAnsi="宋体" w:cs="宋体" w:hint="eastAsia"/>
          <w:kern w:val="0"/>
          <w:szCs w:val="24"/>
        </w:rPr>
        <w:t> </w:t>
      </w:r>
      <w:r w:rsidRPr="000E0C5F">
        <w:rPr>
          <w:rFonts w:ascii="楷体" w:eastAsia="楷体" w:hAnsi="楷体" w:cs="宋体" w:hint="eastAsia"/>
          <w:kern w:val="0"/>
          <w:szCs w:val="24"/>
        </w:rPr>
        <w:t xml:space="preserve">保障基金管理机构应当及时将保障基金的使用、补偿、追偿等情况报告中国证监会和财政部。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宋体" w:hAnsi="宋体" w:cs="宋体" w:hint="eastAsia"/>
          <w:kern w:val="0"/>
          <w:szCs w:val="24"/>
        </w:rPr>
        <w:lastRenderedPageBreak/>
        <w:t> </w:t>
      </w:r>
    </w:p>
    <w:p w:rsidR="000E0C5F" w:rsidRPr="000E0C5F" w:rsidRDefault="000E0C5F" w:rsidP="000E0C5F">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0E0C5F">
        <w:rPr>
          <w:rFonts w:ascii="黑体" w:eastAsia="黑体" w:hAnsi="黑体" w:cs="宋体" w:hint="eastAsia"/>
          <w:kern w:val="0"/>
          <w:szCs w:val="24"/>
        </w:rPr>
        <w:t>第五章</w:t>
      </w:r>
      <w:r w:rsidRPr="000E0C5F">
        <w:rPr>
          <w:rFonts w:ascii="宋体" w:hAnsi="宋体" w:cs="宋体" w:hint="eastAsia"/>
          <w:kern w:val="0"/>
          <w:szCs w:val="24"/>
        </w:rPr>
        <w:t> </w:t>
      </w:r>
      <w:r w:rsidRPr="000E0C5F">
        <w:rPr>
          <w:rFonts w:ascii="黑体" w:eastAsia="黑体" w:hAnsi="黑体" w:cs="宋体" w:hint="eastAsia"/>
          <w:kern w:val="0"/>
          <w:szCs w:val="24"/>
        </w:rPr>
        <w:t>罚　则</w:t>
      </w:r>
      <w:r w:rsidRPr="000E0C5F">
        <w:rPr>
          <w:rFonts w:ascii="楷体" w:eastAsia="楷体" w:hAnsi="楷体" w:cs="宋体" w:hint="eastAsia"/>
          <w:kern w:val="0"/>
          <w:szCs w:val="24"/>
        </w:rPr>
        <w:t xml:space="preserve">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第二十五条</w:t>
      </w:r>
      <w:r w:rsidRPr="000E0C5F">
        <w:rPr>
          <w:rFonts w:ascii="宋体" w:hAnsi="宋体" w:cs="宋体" w:hint="eastAsia"/>
          <w:kern w:val="0"/>
          <w:szCs w:val="24"/>
        </w:rPr>
        <w:t> </w:t>
      </w:r>
      <w:r w:rsidRPr="000E0C5F">
        <w:rPr>
          <w:rFonts w:ascii="楷体" w:eastAsia="楷体" w:hAnsi="楷体" w:cs="宋体" w:hint="eastAsia"/>
          <w:kern w:val="0"/>
          <w:szCs w:val="24"/>
        </w:rPr>
        <w:t xml:space="preserve">期货公司因严重违法违规或者风险控制不力等导致保证金出现缺口的，中国证监会根据《期货交易管理条例》第七十条、第七十一条进行处罚，吊销期货业务许可证。涉嫌犯罪的，依法移送司法机关。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第二十六条</w:t>
      </w:r>
      <w:r w:rsidRPr="000E0C5F">
        <w:rPr>
          <w:rFonts w:ascii="宋体" w:hAnsi="宋体" w:cs="宋体" w:hint="eastAsia"/>
          <w:kern w:val="0"/>
          <w:szCs w:val="24"/>
        </w:rPr>
        <w:t> </w:t>
      </w:r>
      <w:r w:rsidRPr="000E0C5F">
        <w:rPr>
          <w:rFonts w:ascii="楷体" w:eastAsia="楷体" w:hAnsi="楷体" w:cs="宋体" w:hint="eastAsia"/>
          <w:kern w:val="0"/>
          <w:szCs w:val="24"/>
        </w:rPr>
        <w:t xml:space="preserve">期货交易所、期货公司违反本办法规定，延期缴纳或者拒不缴纳保障基金以及不按规定保存、报送有关信息和资料的，中国证监会根据《期货交易管理条例》第六十八条、第七十条进行处罚。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楷体" w:eastAsia="楷体" w:hAnsi="楷体" w:cs="宋体" w:hint="eastAsia"/>
          <w:kern w:val="0"/>
          <w:szCs w:val="24"/>
        </w:rPr>
        <w:t>第二十七条</w:t>
      </w:r>
      <w:r w:rsidRPr="000E0C5F">
        <w:rPr>
          <w:rFonts w:ascii="宋体" w:hAnsi="宋体" w:cs="宋体" w:hint="eastAsia"/>
          <w:kern w:val="0"/>
          <w:szCs w:val="24"/>
        </w:rPr>
        <w:t> </w:t>
      </w:r>
      <w:r w:rsidRPr="000E0C5F">
        <w:rPr>
          <w:rFonts w:ascii="楷体" w:eastAsia="楷体" w:hAnsi="楷体" w:cs="宋体" w:hint="eastAsia"/>
          <w:kern w:val="0"/>
          <w:szCs w:val="24"/>
        </w:rPr>
        <w:t xml:space="preserve">对挪用、侵占、骗取保障基金的违法行为，依法查处；对有关失职人员，依法追究法律责任；涉嫌犯罪的，依法移送司法机关。 </w:t>
      </w:r>
    </w:p>
    <w:p w:rsidR="000E0C5F" w:rsidRPr="000E0C5F" w:rsidRDefault="000E0C5F" w:rsidP="000E0C5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E0C5F">
        <w:rPr>
          <w:rFonts w:ascii="宋体" w:hAnsi="宋体" w:cs="宋体" w:hint="eastAsia"/>
          <w:kern w:val="0"/>
          <w:szCs w:val="24"/>
        </w:rPr>
        <w:t> </w:t>
      </w:r>
    </w:p>
    <w:p w:rsidR="000E0C5F" w:rsidRPr="000E0C5F" w:rsidRDefault="000E0C5F" w:rsidP="000E0C5F">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0E0C5F">
        <w:rPr>
          <w:rFonts w:ascii="黑体" w:eastAsia="黑体" w:hAnsi="黑体" w:cs="宋体" w:hint="eastAsia"/>
          <w:kern w:val="0"/>
          <w:szCs w:val="24"/>
        </w:rPr>
        <w:t>第六章</w:t>
      </w:r>
      <w:r w:rsidRPr="000E0C5F">
        <w:rPr>
          <w:rFonts w:ascii="宋体" w:hAnsi="宋体" w:cs="宋体" w:hint="eastAsia"/>
          <w:kern w:val="0"/>
          <w:szCs w:val="24"/>
        </w:rPr>
        <w:t> </w:t>
      </w:r>
      <w:r w:rsidRPr="000E0C5F">
        <w:rPr>
          <w:rFonts w:ascii="黑体" w:eastAsia="黑体" w:hAnsi="黑体" w:cs="宋体" w:hint="eastAsia"/>
          <w:kern w:val="0"/>
          <w:szCs w:val="24"/>
        </w:rPr>
        <w:t>附</w:t>
      </w:r>
      <w:r w:rsidRPr="000E0C5F">
        <w:rPr>
          <w:rFonts w:ascii="宋体" w:hAnsi="宋体" w:cs="宋体" w:hint="eastAsia"/>
          <w:kern w:val="0"/>
          <w:szCs w:val="24"/>
        </w:rPr>
        <w:t> </w:t>
      </w:r>
      <w:r w:rsidRPr="000E0C5F">
        <w:rPr>
          <w:rFonts w:ascii="黑体" w:eastAsia="黑体" w:hAnsi="黑体" w:cs="宋体" w:hint="eastAsia"/>
          <w:kern w:val="0"/>
          <w:szCs w:val="24"/>
        </w:rPr>
        <w:t>则</w:t>
      </w:r>
      <w:r w:rsidRPr="000E0C5F">
        <w:rPr>
          <w:rFonts w:ascii="楷体" w:eastAsia="楷体" w:hAnsi="楷体" w:cs="宋体" w:hint="eastAsia"/>
          <w:kern w:val="0"/>
          <w:szCs w:val="24"/>
        </w:rPr>
        <w:t xml:space="preserve"> </w:t>
      </w:r>
    </w:p>
    <w:p w:rsidR="000E0C5F" w:rsidRPr="000E0C5F" w:rsidRDefault="000E0C5F" w:rsidP="000E0C5F">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0E0C5F">
        <w:rPr>
          <w:rFonts w:ascii="楷体" w:eastAsia="楷体" w:hAnsi="楷体" w:cs="宋体" w:hint="eastAsia"/>
          <w:kern w:val="0"/>
          <w:szCs w:val="24"/>
        </w:rPr>
        <w:t>第二十八条</w:t>
      </w:r>
      <w:r w:rsidRPr="000E0C5F">
        <w:rPr>
          <w:rFonts w:ascii="宋体" w:hAnsi="宋体" w:cs="宋体" w:hint="eastAsia"/>
          <w:kern w:val="0"/>
          <w:szCs w:val="24"/>
        </w:rPr>
        <w:t> </w:t>
      </w:r>
      <w:r w:rsidRPr="000E0C5F">
        <w:rPr>
          <w:rFonts w:ascii="楷体" w:eastAsia="楷体" w:hAnsi="楷体" w:cs="宋体" w:hint="eastAsia"/>
          <w:kern w:val="0"/>
          <w:szCs w:val="24"/>
        </w:rPr>
        <w:t xml:space="preserve">本办法自2007年8月1日起施行。 </w:t>
      </w:r>
    </w:p>
    <w:p w:rsidR="007C2CB2" w:rsidRPr="000E0C5F" w:rsidRDefault="007C2CB2" w:rsidP="00E86E16">
      <w:pPr>
        <w:ind w:firstLine="480"/>
      </w:pPr>
    </w:p>
    <w:sectPr w:rsidR="007C2CB2" w:rsidRPr="000E0C5F"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E0C5F"/>
    <w:rsid w:val="000E0C5F"/>
    <w:rsid w:val="001A5FF1"/>
    <w:rsid w:val="002B3632"/>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90835160">
      <w:bodyDiv w:val="1"/>
      <w:marLeft w:val="0"/>
      <w:marRight w:val="0"/>
      <w:marTop w:val="0"/>
      <w:marBottom w:val="0"/>
      <w:divBdr>
        <w:top w:val="none" w:sz="0" w:space="0" w:color="auto"/>
        <w:left w:val="none" w:sz="0" w:space="0" w:color="auto"/>
        <w:bottom w:val="none" w:sz="0" w:space="0" w:color="auto"/>
        <w:right w:val="none" w:sz="0" w:space="0" w:color="auto"/>
      </w:divBdr>
      <w:divsChild>
        <w:div w:id="1028220249">
          <w:marLeft w:val="0"/>
          <w:marRight w:val="0"/>
          <w:marTop w:val="0"/>
          <w:marBottom w:val="0"/>
          <w:divBdr>
            <w:top w:val="none" w:sz="0" w:space="0" w:color="auto"/>
            <w:left w:val="none" w:sz="0" w:space="0" w:color="auto"/>
            <w:bottom w:val="none" w:sz="0" w:space="0" w:color="auto"/>
            <w:right w:val="none" w:sz="0" w:space="0" w:color="auto"/>
          </w:divBdr>
          <w:divsChild>
            <w:div w:id="2061392604">
              <w:marLeft w:val="0"/>
              <w:marRight w:val="0"/>
              <w:marTop w:val="0"/>
              <w:marBottom w:val="0"/>
              <w:divBdr>
                <w:top w:val="none" w:sz="0" w:space="0" w:color="auto"/>
                <w:left w:val="none" w:sz="0" w:space="0" w:color="auto"/>
                <w:bottom w:val="none" w:sz="0" w:space="0" w:color="auto"/>
                <w:right w:val="none" w:sz="0" w:space="0" w:color="auto"/>
              </w:divBdr>
              <w:divsChild>
                <w:div w:id="647633585">
                  <w:marLeft w:val="0"/>
                  <w:marRight w:val="0"/>
                  <w:marTop w:val="0"/>
                  <w:marBottom w:val="0"/>
                  <w:divBdr>
                    <w:top w:val="none" w:sz="0" w:space="0" w:color="auto"/>
                    <w:left w:val="none" w:sz="0" w:space="0" w:color="auto"/>
                    <w:bottom w:val="none" w:sz="0" w:space="0" w:color="auto"/>
                    <w:right w:val="none" w:sz="0" w:space="0" w:color="auto"/>
                  </w:divBdr>
                  <w:divsChild>
                    <w:div w:id="190919351">
                      <w:marLeft w:val="0"/>
                      <w:marRight w:val="0"/>
                      <w:marTop w:val="0"/>
                      <w:marBottom w:val="0"/>
                      <w:divBdr>
                        <w:top w:val="none" w:sz="0" w:space="0" w:color="auto"/>
                        <w:left w:val="none" w:sz="0" w:space="0" w:color="auto"/>
                        <w:bottom w:val="none" w:sz="0" w:space="0" w:color="auto"/>
                        <w:right w:val="none" w:sz="0" w:space="0" w:color="auto"/>
                      </w:divBdr>
                      <w:divsChild>
                        <w:div w:id="1961254715">
                          <w:marLeft w:val="0"/>
                          <w:marRight w:val="0"/>
                          <w:marTop w:val="0"/>
                          <w:marBottom w:val="0"/>
                          <w:divBdr>
                            <w:top w:val="none" w:sz="0" w:space="0" w:color="auto"/>
                            <w:left w:val="none" w:sz="0" w:space="0" w:color="auto"/>
                            <w:bottom w:val="none" w:sz="0" w:space="0" w:color="auto"/>
                            <w:right w:val="none" w:sz="0" w:space="0" w:color="auto"/>
                          </w:divBdr>
                          <w:divsChild>
                            <w:div w:id="760679962">
                              <w:marLeft w:val="0"/>
                              <w:marRight w:val="0"/>
                              <w:marTop w:val="0"/>
                              <w:marBottom w:val="0"/>
                              <w:divBdr>
                                <w:top w:val="none" w:sz="0" w:space="0" w:color="auto"/>
                                <w:left w:val="none" w:sz="0" w:space="0" w:color="auto"/>
                                <w:bottom w:val="none" w:sz="0" w:space="0" w:color="auto"/>
                                <w:right w:val="none" w:sz="0" w:space="0" w:color="auto"/>
                              </w:divBdr>
                              <w:divsChild>
                                <w:div w:id="1175533523">
                                  <w:marLeft w:val="0"/>
                                  <w:marRight w:val="0"/>
                                  <w:marTop w:val="0"/>
                                  <w:marBottom w:val="0"/>
                                  <w:divBdr>
                                    <w:top w:val="none" w:sz="0" w:space="0" w:color="auto"/>
                                    <w:left w:val="none" w:sz="0" w:space="0" w:color="auto"/>
                                    <w:bottom w:val="none" w:sz="0" w:space="0" w:color="auto"/>
                                    <w:right w:val="none" w:sz="0" w:space="0" w:color="auto"/>
                                  </w:divBdr>
                                  <w:divsChild>
                                    <w:div w:id="81410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367</Words>
  <Characters>2095</Characters>
  <Application>Microsoft Office Word</Application>
  <DocSecurity>0</DocSecurity>
  <Lines>17</Lines>
  <Paragraphs>4</Paragraphs>
  <ScaleCrop>false</ScaleCrop>
  <Company/>
  <LinksUpToDate>false</LinksUpToDate>
  <CharactersWithSpaces>2458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2013-12-06T05:47:00Z</dcterms:created>
  <dcterms:modified xsi:type="dcterms:W3CDTF">2013-12-06T05:47:00Z</dcterms:modified>
</cp:coreProperties>
</file>