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35A5" w:rsidRPr="00E335A5" w:rsidRDefault="00E335A5" w:rsidP="00E335A5">
      <w:pPr>
        <w:widowControl/>
        <w:wordWrap w:val="0"/>
        <w:spacing w:before="100" w:beforeAutospacing="1" w:after="100" w:afterAutospacing="1" w:line="240" w:lineRule="auto"/>
        <w:ind w:firstLineChars="0" w:firstLine="720"/>
        <w:jc w:val="center"/>
        <w:rPr>
          <w:rFonts w:ascii="楷体" w:eastAsia="楷体" w:hAnsi="楷体" w:cs="宋体"/>
          <w:kern w:val="0"/>
          <w:szCs w:val="24"/>
        </w:rPr>
      </w:pPr>
      <w:r w:rsidRPr="00E335A5">
        <w:rPr>
          <w:rFonts w:ascii="黑体" w:eastAsia="黑体" w:hAnsi="黑体" w:cs="宋体" w:hint="eastAsia"/>
          <w:kern w:val="0"/>
          <w:sz w:val="36"/>
          <w:szCs w:val="36"/>
        </w:rPr>
        <w:t>《合格境外机构投资者境内证券投资管理办法》</w:t>
      </w:r>
    </w:p>
    <w:p w:rsidR="00E335A5" w:rsidRPr="00E335A5" w:rsidRDefault="00E335A5" w:rsidP="00E335A5">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E335A5">
        <w:rPr>
          <w:rFonts w:ascii="宋体" w:hAnsi="宋体" w:cs="宋体" w:hint="eastAsia"/>
          <w:kern w:val="0"/>
          <w:szCs w:val="24"/>
        </w:rPr>
        <w:t> </w:t>
      </w:r>
    </w:p>
    <w:p w:rsidR="00E335A5" w:rsidRPr="00E335A5" w:rsidRDefault="00E335A5" w:rsidP="00E335A5">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E335A5">
        <w:rPr>
          <w:rFonts w:ascii="黑体" w:eastAsia="黑体" w:hAnsi="黑体" w:cs="宋体" w:hint="eastAsia"/>
          <w:kern w:val="0"/>
          <w:szCs w:val="24"/>
        </w:rPr>
        <w:t>第一章　总　 则</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楷体" w:eastAsia="楷体" w:hAnsi="楷体" w:cs="宋体" w:hint="eastAsia"/>
          <w:kern w:val="0"/>
          <w:szCs w:val="24"/>
        </w:rPr>
        <w:t>第一条　为了规范合格境外机构投资者在中国境内证券市场的投资行为，促进中国证券市场的发展，根据有关法律、行政法规，制定本办法。</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楷体" w:eastAsia="楷体" w:hAnsi="楷体" w:cs="宋体" w:hint="eastAsia"/>
          <w:kern w:val="0"/>
          <w:szCs w:val="24"/>
        </w:rPr>
        <w:t>第二条　本办法所称合格境外机构投资者（以下简称合格投资者），是指符合本办法的规定，经中国证券监督管理委员会（以下简称中国证监会）批准投资于中国证券市场，并取得国家外汇管理局（以下简称国家外汇局）额度批准的中国境外基金管理机构、保险公司、证券公司以及其他资产管理机构。</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楷体" w:eastAsia="楷体" w:hAnsi="楷体" w:cs="宋体" w:hint="eastAsia"/>
          <w:kern w:val="0"/>
          <w:szCs w:val="24"/>
        </w:rPr>
        <w:t>第三条　合格投资者应当委托境内商业银行作为托管人托管资产，委托境内证券公司办理在境内的证券交易活动。</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楷体" w:eastAsia="楷体" w:hAnsi="楷体" w:cs="宋体" w:hint="eastAsia"/>
          <w:kern w:val="0"/>
          <w:szCs w:val="24"/>
        </w:rPr>
        <w:t>第四条　合格投资者必须遵守中国的法律法规和其他有关规定。</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楷体" w:eastAsia="楷体" w:hAnsi="楷体" w:cs="宋体" w:hint="eastAsia"/>
          <w:kern w:val="0"/>
          <w:szCs w:val="24"/>
        </w:rPr>
        <w:t>第五条　中国证监会依法对合格投资者的境内证券投资实施监督管理，国家外汇局依法对合格投资者境内证券投资有关的投资额度、资金汇出入等实施外汇管理。</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宋体" w:hAnsi="宋体" w:cs="宋体" w:hint="eastAsia"/>
          <w:kern w:val="0"/>
          <w:szCs w:val="24"/>
        </w:rPr>
        <w:t> </w:t>
      </w:r>
    </w:p>
    <w:p w:rsidR="00E335A5" w:rsidRPr="00E335A5" w:rsidRDefault="00E335A5" w:rsidP="00E335A5">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E335A5">
        <w:rPr>
          <w:rFonts w:ascii="黑体" w:eastAsia="黑体" w:hAnsi="黑体" w:cs="宋体" w:hint="eastAsia"/>
          <w:kern w:val="0"/>
          <w:szCs w:val="24"/>
        </w:rPr>
        <w:t>第二章　资格条件和审批程序</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楷体" w:eastAsia="楷体" w:hAnsi="楷体" w:cs="宋体" w:hint="eastAsia"/>
          <w:kern w:val="0"/>
          <w:szCs w:val="24"/>
        </w:rPr>
        <w:t>第六条　申请合格投资者资格，应当具备下列条件：</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楷体" w:eastAsia="楷体" w:hAnsi="楷体" w:cs="宋体" w:hint="eastAsia"/>
          <w:kern w:val="0"/>
          <w:szCs w:val="24"/>
        </w:rPr>
        <w:t>（一）申请人的财务稳健，资信良好，达到中国证监会规定的资产规模等条件；</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楷体" w:eastAsia="楷体" w:hAnsi="楷体" w:cs="宋体" w:hint="eastAsia"/>
          <w:kern w:val="0"/>
          <w:szCs w:val="24"/>
        </w:rPr>
        <w:t>（二）申请人的从业人员符合所在国家或者地区的有关从业资格的要求；</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楷体" w:eastAsia="楷体" w:hAnsi="楷体" w:cs="宋体" w:hint="eastAsia"/>
          <w:kern w:val="0"/>
          <w:szCs w:val="24"/>
        </w:rPr>
        <w:t>（三）申请人有健全的治理结构和完善的内控制度，经营行为规范，近3年未受到监管机构的重大处罚；</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楷体" w:eastAsia="楷体" w:hAnsi="楷体" w:cs="宋体" w:hint="eastAsia"/>
          <w:kern w:val="0"/>
          <w:szCs w:val="24"/>
        </w:rPr>
        <w:t>（四）申请人所在国家或者地区有完善的法律和监管制度，其证券监管机构已与中国证监会签订监管合作谅解备忘录，并保持着有效的监管合作关系；</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楷体" w:eastAsia="楷体" w:hAnsi="楷体" w:cs="宋体" w:hint="eastAsia"/>
          <w:kern w:val="0"/>
          <w:szCs w:val="24"/>
        </w:rPr>
        <w:t>（五）中国证监会根据审慎监管原则规定的其他条件。</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楷体" w:eastAsia="楷体" w:hAnsi="楷体" w:cs="宋体" w:hint="eastAsia"/>
          <w:kern w:val="0"/>
          <w:szCs w:val="24"/>
        </w:rPr>
        <w:t>第七条　申请合格投资者资格和投资额度，申请人可以通过托管人分别向中国证监会和国家外汇局报送文件。</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楷体" w:eastAsia="楷体" w:hAnsi="楷体" w:cs="宋体" w:hint="eastAsia"/>
          <w:kern w:val="0"/>
          <w:szCs w:val="24"/>
        </w:rPr>
        <w:lastRenderedPageBreak/>
        <w:t>第八条　中国证监会自收到完整的申请文件之日起20个工作日内，对申请材料进行审核，并征求国家外汇局意见，</w:t>
      </w:r>
      <w:proofErr w:type="gramStart"/>
      <w:r w:rsidRPr="00E335A5">
        <w:rPr>
          <w:rFonts w:ascii="楷体" w:eastAsia="楷体" w:hAnsi="楷体" w:cs="宋体" w:hint="eastAsia"/>
          <w:kern w:val="0"/>
          <w:szCs w:val="24"/>
        </w:rPr>
        <w:t>作出</w:t>
      </w:r>
      <w:proofErr w:type="gramEnd"/>
      <w:r w:rsidRPr="00E335A5">
        <w:rPr>
          <w:rFonts w:ascii="楷体" w:eastAsia="楷体" w:hAnsi="楷体" w:cs="宋体" w:hint="eastAsia"/>
          <w:kern w:val="0"/>
          <w:szCs w:val="24"/>
        </w:rPr>
        <w:t>批准或者不批准的决定。决定批准的，颁发证券投资业务许可证；决定不批准的，书面通知申请人。</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楷体" w:eastAsia="楷体" w:hAnsi="楷体" w:cs="宋体" w:hint="eastAsia"/>
          <w:kern w:val="0"/>
          <w:szCs w:val="24"/>
        </w:rPr>
        <w:t>第九条　申请人应当在取得证券投资业务许可证之日起1年内，通过托管人向国家外汇局提出投资额度申请。</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楷体" w:eastAsia="楷体" w:hAnsi="楷体" w:cs="宋体" w:hint="eastAsia"/>
          <w:kern w:val="0"/>
          <w:szCs w:val="24"/>
        </w:rPr>
        <w:t>国家外汇局自收到完整的申请文件之日起20个工作日内，对申请材料进行审核，并征求中国证监会意见，</w:t>
      </w:r>
      <w:proofErr w:type="gramStart"/>
      <w:r w:rsidRPr="00E335A5">
        <w:rPr>
          <w:rFonts w:ascii="楷体" w:eastAsia="楷体" w:hAnsi="楷体" w:cs="宋体" w:hint="eastAsia"/>
          <w:kern w:val="0"/>
          <w:szCs w:val="24"/>
        </w:rPr>
        <w:t>作出</w:t>
      </w:r>
      <w:proofErr w:type="gramEnd"/>
      <w:r w:rsidRPr="00E335A5">
        <w:rPr>
          <w:rFonts w:ascii="楷体" w:eastAsia="楷体" w:hAnsi="楷体" w:cs="宋体" w:hint="eastAsia"/>
          <w:kern w:val="0"/>
          <w:szCs w:val="24"/>
        </w:rPr>
        <w:t>批准或者不批准的决定。决定批准的，</w:t>
      </w:r>
      <w:proofErr w:type="gramStart"/>
      <w:r w:rsidRPr="00E335A5">
        <w:rPr>
          <w:rFonts w:ascii="楷体" w:eastAsia="楷体" w:hAnsi="楷体" w:cs="宋体" w:hint="eastAsia"/>
          <w:kern w:val="0"/>
          <w:szCs w:val="24"/>
        </w:rPr>
        <w:t>作出</w:t>
      </w:r>
      <w:proofErr w:type="gramEnd"/>
      <w:r w:rsidRPr="00E335A5">
        <w:rPr>
          <w:rFonts w:ascii="楷体" w:eastAsia="楷体" w:hAnsi="楷体" w:cs="宋体" w:hint="eastAsia"/>
          <w:kern w:val="0"/>
          <w:szCs w:val="24"/>
        </w:rPr>
        <w:t>书面批复并颁发外汇登记证；决定不批准的，书面通知申请人。</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楷体" w:eastAsia="楷体" w:hAnsi="楷体" w:cs="宋体" w:hint="eastAsia"/>
          <w:kern w:val="0"/>
          <w:szCs w:val="24"/>
        </w:rPr>
        <w:t>第十条　为鼓励中长期投资，对于符合本办法规定的养老基金、保险基金、共同基金、慈善基金等长期资金管理机构，予以优先考虑。</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宋体" w:hAnsi="宋体" w:cs="宋体" w:hint="eastAsia"/>
          <w:kern w:val="0"/>
          <w:szCs w:val="24"/>
        </w:rPr>
        <w:t> </w:t>
      </w:r>
    </w:p>
    <w:p w:rsidR="00E335A5" w:rsidRPr="00E335A5" w:rsidRDefault="00E335A5" w:rsidP="00E335A5">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E335A5">
        <w:rPr>
          <w:rFonts w:ascii="黑体" w:eastAsia="黑体" w:hAnsi="黑体" w:cs="宋体" w:hint="eastAsia"/>
          <w:kern w:val="0"/>
          <w:szCs w:val="24"/>
        </w:rPr>
        <w:t>第三章　托管、登记和结算</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楷体" w:eastAsia="楷体" w:hAnsi="楷体" w:cs="宋体" w:hint="eastAsia"/>
          <w:kern w:val="0"/>
          <w:szCs w:val="24"/>
        </w:rPr>
        <w:t>第十一条 托管人应当具备下列条件：</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楷体" w:eastAsia="楷体" w:hAnsi="楷体" w:cs="宋体" w:hint="eastAsia"/>
          <w:kern w:val="0"/>
          <w:szCs w:val="24"/>
        </w:rPr>
        <w:t>（一） 设有专门的资产托管部；</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楷体" w:eastAsia="楷体" w:hAnsi="楷体" w:cs="宋体" w:hint="eastAsia"/>
          <w:kern w:val="0"/>
          <w:szCs w:val="24"/>
        </w:rPr>
        <w:t>（二） 实收资本不少于80亿元人民币；</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楷体" w:eastAsia="楷体" w:hAnsi="楷体" w:cs="宋体" w:hint="eastAsia"/>
          <w:kern w:val="0"/>
          <w:szCs w:val="24"/>
        </w:rPr>
        <w:t>（三） 有足够的熟悉托管业务的专职人员；</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楷体" w:eastAsia="楷体" w:hAnsi="楷体" w:cs="宋体" w:hint="eastAsia"/>
          <w:kern w:val="0"/>
          <w:szCs w:val="24"/>
        </w:rPr>
        <w:t>（四） 具备安全保管合格投资者资产的条件；</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楷体" w:eastAsia="楷体" w:hAnsi="楷体" w:cs="宋体" w:hint="eastAsia"/>
          <w:kern w:val="0"/>
          <w:szCs w:val="24"/>
        </w:rPr>
        <w:t>（五） 具备安全、高效的清算、交割能力；</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楷体" w:eastAsia="楷体" w:hAnsi="楷体" w:cs="宋体" w:hint="eastAsia"/>
          <w:kern w:val="0"/>
          <w:szCs w:val="24"/>
        </w:rPr>
        <w:t>（六） 具备外汇指定银行资格和经营人民币业务资格；</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楷体" w:eastAsia="楷体" w:hAnsi="楷体" w:cs="宋体" w:hint="eastAsia"/>
          <w:kern w:val="0"/>
          <w:szCs w:val="24"/>
        </w:rPr>
        <w:t>（七）最近3年没有重大违反外汇管理规定的纪录。</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楷体" w:eastAsia="楷体" w:hAnsi="楷体" w:cs="宋体" w:hint="eastAsia"/>
          <w:kern w:val="0"/>
          <w:szCs w:val="24"/>
        </w:rPr>
        <w:t>外资商业银行境内分行在境内持续经营3年以上的，可申请成为托管人，其实</w:t>
      </w:r>
      <w:proofErr w:type="gramStart"/>
      <w:r w:rsidRPr="00E335A5">
        <w:rPr>
          <w:rFonts w:ascii="楷体" w:eastAsia="楷体" w:hAnsi="楷体" w:cs="宋体" w:hint="eastAsia"/>
          <w:kern w:val="0"/>
          <w:szCs w:val="24"/>
        </w:rPr>
        <w:t>收资本</w:t>
      </w:r>
      <w:proofErr w:type="gramEnd"/>
      <w:r w:rsidRPr="00E335A5">
        <w:rPr>
          <w:rFonts w:ascii="楷体" w:eastAsia="楷体" w:hAnsi="楷体" w:cs="宋体" w:hint="eastAsia"/>
          <w:kern w:val="0"/>
          <w:szCs w:val="24"/>
        </w:rPr>
        <w:t>数额条件按其境外总行的计算。</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楷体" w:eastAsia="楷体" w:hAnsi="楷体" w:cs="宋体" w:hint="eastAsia"/>
          <w:kern w:val="0"/>
          <w:szCs w:val="24"/>
        </w:rPr>
        <w:t>第十二条　取得托管人资格，必须经中国证监会和国家外汇局审批。中国证监会收到完整的申请文件后，于30个工作日内会签国家外汇局</w:t>
      </w:r>
      <w:proofErr w:type="gramStart"/>
      <w:r w:rsidRPr="00E335A5">
        <w:rPr>
          <w:rFonts w:ascii="楷体" w:eastAsia="楷体" w:hAnsi="楷体" w:cs="宋体" w:hint="eastAsia"/>
          <w:kern w:val="0"/>
          <w:szCs w:val="24"/>
        </w:rPr>
        <w:t>作出</w:t>
      </w:r>
      <w:proofErr w:type="gramEnd"/>
      <w:r w:rsidRPr="00E335A5">
        <w:rPr>
          <w:rFonts w:ascii="楷体" w:eastAsia="楷体" w:hAnsi="楷体" w:cs="宋体" w:hint="eastAsia"/>
          <w:kern w:val="0"/>
          <w:szCs w:val="24"/>
        </w:rPr>
        <w:t>托管资格许可。</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楷体" w:eastAsia="楷体" w:hAnsi="楷体" w:cs="宋体" w:hint="eastAsia"/>
          <w:kern w:val="0"/>
          <w:szCs w:val="24"/>
        </w:rPr>
        <w:t>第十三条　托管人应当履行下列职责：</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楷体" w:eastAsia="楷体" w:hAnsi="楷体" w:cs="宋体" w:hint="eastAsia"/>
          <w:kern w:val="0"/>
          <w:szCs w:val="24"/>
        </w:rPr>
        <w:t>（一）保管合格投资者托管的全部资产；</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楷体" w:eastAsia="楷体" w:hAnsi="楷体" w:cs="宋体" w:hint="eastAsia"/>
          <w:kern w:val="0"/>
          <w:szCs w:val="24"/>
        </w:rPr>
        <w:t>（二）办理合格投资者的有关结汇、售汇、收汇、付汇和人民币资金结算业务；</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楷体" w:eastAsia="楷体" w:hAnsi="楷体" w:cs="宋体" w:hint="eastAsia"/>
          <w:kern w:val="0"/>
          <w:szCs w:val="24"/>
        </w:rPr>
        <w:lastRenderedPageBreak/>
        <w:t>（三）监督合格投资者的投资运作，发现其投资指令违法、违规的，及时向中国证监会和国家外汇局报告；</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楷体" w:eastAsia="楷体" w:hAnsi="楷体" w:cs="宋体" w:hint="eastAsia"/>
          <w:kern w:val="0"/>
          <w:szCs w:val="24"/>
        </w:rPr>
        <w:t>（四）在合格投资者汇入本金、汇出本金或者收益2个工作日内，向国家外汇局报告合格投资者的资金汇入、汇出及结售汇情况；</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楷体" w:eastAsia="楷体" w:hAnsi="楷体" w:cs="宋体" w:hint="eastAsia"/>
          <w:kern w:val="0"/>
          <w:szCs w:val="24"/>
        </w:rPr>
        <w:t xml:space="preserve">（五）每月结束后8个工作日内，向国家外汇局报告合格投资者的外汇账户和人民币特殊账户的收支和资产配置情况，向中国证监会报告证券账户的投资和交易情况； </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楷体" w:eastAsia="楷体" w:hAnsi="楷体" w:cs="宋体" w:hint="eastAsia"/>
          <w:kern w:val="0"/>
          <w:szCs w:val="24"/>
        </w:rPr>
        <w:t>（六）每个会计年度结束后3个月内，编制关于合格投资者上一年度境内证券投资情况的年度财务报告，并报送中国证监会和国家外汇局；</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楷体" w:eastAsia="楷体" w:hAnsi="楷体" w:cs="宋体" w:hint="eastAsia"/>
          <w:kern w:val="0"/>
          <w:szCs w:val="24"/>
        </w:rPr>
        <w:t>（七）保存合格投资者的资金汇入、汇出、兑换、收汇、付汇和资金往来记录等相关资料，其保存的时间应当不少于20年；</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楷体" w:eastAsia="楷体" w:hAnsi="楷体" w:cs="宋体" w:hint="eastAsia"/>
          <w:kern w:val="0"/>
          <w:szCs w:val="24"/>
        </w:rPr>
        <w:t>（八）根据国家外汇管理规定进行国际收支统计申报；</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楷体" w:eastAsia="楷体" w:hAnsi="楷体" w:cs="宋体" w:hint="eastAsia"/>
          <w:kern w:val="0"/>
          <w:szCs w:val="24"/>
        </w:rPr>
        <w:t>（九）中国证监会、国家外汇局根据审慎监管原则规定的其他职责。</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楷体" w:eastAsia="楷体" w:hAnsi="楷体" w:cs="宋体" w:hint="eastAsia"/>
          <w:kern w:val="0"/>
          <w:szCs w:val="24"/>
        </w:rPr>
        <w:t>第十四条　托管人必须将其自有资产和受托管理的资产严格分开，对受托管理的资产实行分账托管。</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楷体" w:eastAsia="楷体" w:hAnsi="楷体" w:cs="宋体" w:hint="eastAsia"/>
          <w:kern w:val="0"/>
          <w:szCs w:val="24"/>
        </w:rPr>
        <w:t>第十五条 每个合格投资者只能委托1个托管人，并可以更换托管人。</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楷体" w:eastAsia="楷体" w:hAnsi="楷体" w:cs="宋体" w:hint="eastAsia"/>
          <w:kern w:val="0"/>
          <w:szCs w:val="24"/>
        </w:rPr>
        <w:t>第十六条　合格投资者可以在证券登记结算机构申请开立证券账户。该证券账户可以是实名账户，也可以是名义持有人账户。</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楷体" w:eastAsia="楷体" w:hAnsi="楷体" w:cs="宋体" w:hint="eastAsia"/>
          <w:kern w:val="0"/>
          <w:szCs w:val="24"/>
        </w:rPr>
        <w:t>名义持有人应当将其代理的实际投资者或基金的名称、注册地、资产配置、证券投资情况于每个季度结束后的8个工作日内，报告中国证监会和证券交易所。</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楷体" w:eastAsia="楷体" w:hAnsi="楷体" w:cs="宋体" w:hint="eastAsia"/>
          <w:kern w:val="0"/>
          <w:szCs w:val="24"/>
        </w:rPr>
        <w:t>第十七条 合格投资者应当委托获得证券登记结算机构结算参与人资格的机构进行资金结算。该机构应在开立人民币结算资金账户5个工作日内将开户情况向国家外汇局备案。</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宋体" w:hAnsi="宋体" w:cs="宋体" w:hint="eastAsia"/>
          <w:kern w:val="0"/>
          <w:szCs w:val="24"/>
        </w:rPr>
        <w:t> </w:t>
      </w:r>
    </w:p>
    <w:p w:rsidR="00E335A5" w:rsidRPr="00E335A5" w:rsidRDefault="00E335A5" w:rsidP="00E335A5">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E335A5">
        <w:rPr>
          <w:rFonts w:ascii="黑体" w:eastAsia="黑体" w:hAnsi="黑体" w:cs="宋体" w:hint="eastAsia"/>
          <w:kern w:val="0"/>
          <w:szCs w:val="24"/>
        </w:rPr>
        <w:t>第四章　投资运作</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楷体" w:eastAsia="楷体" w:hAnsi="楷体" w:cs="宋体" w:hint="eastAsia"/>
          <w:kern w:val="0"/>
          <w:szCs w:val="24"/>
        </w:rPr>
        <w:t>第十八条　合格投资者在经批准的投资额度内，可以投资于中国证监会批准的人民币金融工具。</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楷体" w:eastAsia="楷体" w:hAnsi="楷体" w:cs="宋体" w:hint="eastAsia"/>
          <w:kern w:val="0"/>
          <w:szCs w:val="24"/>
        </w:rPr>
        <w:t>第十九条　合格投资者可以委托在境内设立的证券公司等投资管理机构，进行境内证券投资管理。</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楷体" w:eastAsia="楷体" w:hAnsi="楷体" w:cs="宋体" w:hint="eastAsia"/>
          <w:kern w:val="0"/>
          <w:szCs w:val="24"/>
        </w:rPr>
        <w:lastRenderedPageBreak/>
        <w:t>第二十条　合格投资者的境内股票投资，应当遵守中国证监会规定的持股比例限制和国家其他有关规定。</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楷体" w:eastAsia="楷体" w:hAnsi="楷体" w:cs="宋体" w:hint="eastAsia"/>
          <w:kern w:val="0"/>
          <w:szCs w:val="24"/>
        </w:rPr>
        <w:t>第二十一条　境外投资者履行信息披露义务时，应当合并计算其持有的同一上市公司的境内上市股和境外上市股，并遵守信息披露的有关的法律法规。</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楷体" w:eastAsia="楷体" w:hAnsi="楷体" w:cs="宋体" w:hint="eastAsia"/>
          <w:kern w:val="0"/>
          <w:szCs w:val="24"/>
        </w:rPr>
        <w:t>第二十二条 证券公司等机构保存合格投资者的委托记录、交易记录等资料的时间应当不少于20年。</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楷体" w:eastAsia="楷体" w:hAnsi="楷体" w:cs="宋体" w:hint="eastAsia"/>
          <w:kern w:val="0"/>
          <w:szCs w:val="24"/>
        </w:rPr>
        <w:t>第二十三条 合格投资者的境内证券投资活动，应当遵守证券交易所、证券登记结算机构的有关规定。</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宋体" w:hAnsi="宋体" w:cs="宋体" w:hint="eastAsia"/>
          <w:kern w:val="0"/>
          <w:szCs w:val="24"/>
        </w:rPr>
        <w:t> </w:t>
      </w:r>
    </w:p>
    <w:p w:rsidR="00E335A5" w:rsidRPr="00E335A5" w:rsidRDefault="00E335A5" w:rsidP="00E335A5">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E335A5">
        <w:rPr>
          <w:rFonts w:ascii="黑体" w:eastAsia="黑体" w:hAnsi="黑体" w:cs="宋体" w:hint="eastAsia"/>
          <w:kern w:val="0"/>
          <w:szCs w:val="24"/>
        </w:rPr>
        <w:t>第五章　资金管理</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楷体" w:eastAsia="楷体" w:hAnsi="楷体" w:cs="宋体" w:hint="eastAsia"/>
          <w:kern w:val="0"/>
          <w:szCs w:val="24"/>
        </w:rPr>
        <w:t xml:space="preserve">第二十四条　合格投资者经国家外汇局批准，应当在托管人处开立外汇账户和人民币特殊账户。　　</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楷体" w:eastAsia="楷体" w:hAnsi="楷体" w:cs="宋体" w:hint="eastAsia"/>
          <w:kern w:val="0"/>
          <w:szCs w:val="24"/>
        </w:rPr>
        <w:t>第二十五条　合格投资者外汇账户和人民币特殊账户的收支范围应当符合国家外汇局的有关规定。</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楷体" w:eastAsia="楷体" w:hAnsi="楷体" w:cs="宋体" w:hint="eastAsia"/>
          <w:kern w:val="0"/>
          <w:szCs w:val="24"/>
        </w:rPr>
        <w:t>第二十六条　合格投资者应当在国家外汇局规定的时间内汇入本金，汇入的本金应当是国家外汇局批准的可兑换货币，金额以批准额度为限。</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楷体" w:eastAsia="楷体" w:hAnsi="楷体" w:cs="宋体" w:hint="eastAsia"/>
          <w:kern w:val="0"/>
          <w:szCs w:val="24"/>
        </w:rPr>
        <w:t>合格投资者未在国家外汇局规定的时间内汇满本金的，应当向中国证监会和国家外汇局</w:t>
      </w:r>
      <w:proofErr w:type="gramStart"/>
      <w:r w:rsidRPr="00E335A5">
        <w:rPr>
          <w:rFonts w:ascii="楷体" w:eastAsia="楷体" w:hAnsi="楷体" w:cs="宋体" w:hint="eastAsia"/>
          <w:kern w:val="0"/>
          <w:szCs w:val="24"/>
        </w:rPr>
        <w:t>作出</w:t>
      </w:r>
      <w:proofErr w:type="gramEnd"/>
      <w:r w:rsidRPr="00E335A5">
        <w:rPr>
          <w:rFonts w:ascii="楷体" w:eastAsia="楷体" w:hAnsi="楷体" w:cs="宋体" w:hint="eastAsia"/>
          <w:kern w:val="0"/>
          <w:szCs w:val="24"/>
        </w:rPr>
        <w:t>书面解释，并以实际汇入金额为批准额度；已批准额度和已实际汇入金额的差额，在未经国家外汇局批准之前不得汇入。</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楷体" w:eastAsia="楷体" w:hAnsi="楷体" w:cs="宋体" w:hint="eastAsia"/>
          <w:kern w:val="0"/>
          <w:szCs w:val="24"/>
        </w:rPr>
        <w:t>第二十七条　合格投资者可以在国家外汇局规定的期限届满之日起向国家外汇局申请汇出资金，国家外汇局另有规定的除外。</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楷体" w:eastAsia="楷体" w:hAnsi="楷体" w:cs="宋体" w:hint="eastAsia"/>
          <w:kern w:val="0"/>
          <w:szCs w:val="24"/>
        </w:rPr>
        <w:t>第二十八条　国家外汇局可以根据我国经济金融形势、外汇市场供求关系和国际收支状况，按照中国人民银行的安排，对合格投资者本金的汇入汇出时间、金额以及汇出资金的期限予以调整。</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宋体" w:hAnsi="宋体" w:cs="宋体" w:hint="eastAsia"/>
          <w:kern w:val="0"/>
          <w:szCs w:val="24"/>
        </w:rPr>
        <w:t> </w:t>
      </w:r>
    </w:p>
    <w:p w:rsidR="00E335A5" w:rsidRPr="00E335A5" w:rsidRDefault="00E335A5" w:rsidP="00E335A5">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E335A5">
        <w:rPr>
          <w:rFonts w:ascii="黑体" w:eastAsia="黑体" w:hAnsi="黑体" w:cs="宋体" w:hint="eastAsia"/>
          <w:kern w:val="0"/>
          <w:szCs w:val="24"/>
        </w:rPr>
        <w:t>第六章　监督管理</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楷体" w:eastAsia="楷体" w:hAnsi="楷体" w:cs="宋体" w:hint="eastAsia"/>
          <w:kern w:val="0"/>
          <w:szCs w:val="24"/>
        </w:rPr>
        <w:t>第二十九条　中国证监会、国家外汇局依法可以要求合格投资者、托管人、证券公司等机构提供合格投资者的有关资料，并进行必要的询问、检查。</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楷体" w:eastAsia="楷体" w:hAnsi="楷体" w:cs="宋体" w:hint="eastAsia"/>
          <w:kern w:val="0"/>
          <w:szCs w:val="24"/>
        </w:rPr>
        <w:t>第三十条　合格投资者有下列情形之一的，应当在其发生后5个工作日内报中国证监会、国家外汇局备案：</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楷体" w:eastAsia="楷体" w:hAnsi="楷体" w:cs="宋体" w:hint="eastAsia"/>
          <w:kern w:val="0"/>
          <w:szCs w:val="24"/>
        </w:rPr>
        <w:lastRenderedPageBreak/>
        <w:t>（一）变更托管人；</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楷体" w:eastAsia="楷体" w:hAnsi="楷体" w:cs="宋体" w:hint="eastAsia"/>
          <w:kern w:val="0"/>
          <w:szCs w:val="24"/>
        </w:rPr>
        <w:t>（二）变更法定代表人；</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楷体" w:eastAsia="楷体" w:hAnsi="楷体" w:cs="宋体" w:hint="eastAsia"/>
          <w:kern w:val="0"/>
          <w:szCs w:val="24"/>
        </w:rPr>
        <w:t>（三）其控股股东变更；</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楷体" w:eastAsia="楷体" w:hAnsi="楷体" w:cs="宋体" w:hint="eastAsia"/>
          <w:kern w:val="0"/>
          <w:szCs w:val="24"/>
        </w:rPr>
        <w:t>（四）调整注册资本；</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楷体" w:eastAsia="楷体" w:hAnsi="楷体" w:cs="宋体" w:hint="eastAsia"/>
          <w:kern w:val="0"/>
          <w:szCs w:val="24"/>
        </w:rPr>
        <w:t>（五）涉及重大诉讼及其他重大事件；</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楷体" w:eastAsia="楷体" w:hAnsi="楷体" w:cs="宋体" w:hint="eastAsia"/>
          <w:kern w:val="0"/>
          <w:szCs w:val="24"/>
        </w:rPr>
        <w:t>（六）在境外受到重大处罚；</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楷体" w:eastAsia="楷体" w:hAnsi="楷体" w:cs="宋体" w:hint="eastAsia"/>
          <w:kern w:val="0"/>
          <w:szCs w:val="24"/>
        </w:rPr>
        <w:t>（七）中国证监会和国家外汇局规定的其他情形。</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楷体" w:eastAsia="楷体" w:hAnsi="楷体" w:cs="宋体" w:hint="eastAsia"/>
          <w:kern w:val="0"/>
          <w:szCs w:val="24"/>
        </w:rPr>
        <w:t>第三十一条　合格投资者有下列情形之一的，应当重新申领证券投资业务许可证：</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楷体" w:eastAsia="楷体" w:hAnsi="楷体" w:cs="宋体" w:hint="eastAsia"/>
          <w:kern w:val="0"/>
          <w:szCs w:val="24"/>
        </w:rPr>
        <w:t>（一）变更机构名称；</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楷体" w:eastAsia="楷体" w:hAnsi="楷体" w:cs="宋体" w:hint="eastAsia"/>
          <w:kern w:val="0"/>
          <w:szCs w:val="24"/>
        </w:rPr>
        <w:t>（二）被其他机构吸收合并；</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楷体" w:eastAsia="楷体" w:hAnsi="楷体" w:cs="宋体" w:hint="eastAsia"/>
          <w:kern w:val="0"/>
          <w:szCs w:val="24"/>
        </w:rPr>
        <w:t>（三）中国证监会和国家外汇局规定的其他情形。</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楷体" w:eastAsia="楷体" w:hAnsi="楷体" w:cs="宋体" w:hint="eastAsia"/>
          <w:kern w:val="0"/>
          <w:szCs w:val="24"/>
        </w:rPr>
        <w:t>重新申领证券投资业务许可证期间，合格投资者可以继续进行证券交易。但中国证监会根据审慎监管原则认为需要暂停的除外。</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楷体" w:eastAsia="楷体" w:hAnsi="楷体" w:cs="宋体" w:hint="eastAsia"/>
          <w:kern w:val="0"/>
          <w:szCs w:val="24"/>
        </w:rPr>
        <w:t>第三十二条　合格投资者有下列情形之一的，应当将证券投资业务许可证和外汇登记证分别交还中国证监会和国家外汇局：</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楷体" w:eastAsia="楷体" w:hAnsi="楷体" w:cs="宋体" w:hint="eastAsia"/>
          <w:kern w:val="0"/>
          <w:szCs w:val="24"/>
        </w:rPr>
        <w:t>（一）申请人取得证券投资业务许可证后1年内未向国家外汇局提出投资额度申请的；</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楷体" w:eastAsia="楷体" w:hAnsi="楷体" w:cs="宋体" w:hint="eastAsia"/>
          <w:kern w:val="0"/>
          <w:szCs w:val="24"/>
        </w:rPr>
        <w:t>（二）机构解散、进入破产程序或者由接管人接管的；</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楷体" w:eastAsia="楷体" w:hAnsi="楷体" w:cs="宋体" w:hint="eastAsia"/>
          <w:kern w:val="0"/>
          <w:szCs w:val="24"/>
        </w:rPr>
        <w:t>（三）合格投资者重新申领许可证的；</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楷体" w:eastAsia="楷体" w:hAnsi="楷体" w:cs="宋体" w:hint="eastAsia"/>
          <w:kern w:val="0"/>
          <w:szCs w:val="24"/>
        </w:rPr>
        <w:t>（四）合格投资者有重大违法行为及中国证监会和国家外汇局认定的其他情形。</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楷体" w:eastAsia="楷体" w:hAnsi="楷体" w:cs="宋体" w:hint="eastAsia"/>
          <w:kern w:val="0"/>
          <w:szCs w:val="24"/>
        </w:rPr>
        <w:t>第三十三条 合格投资者所管理的证券账户发生重大违法、违规行为的，中国证监会可以依法采取限制相关证券账户的交易行为等措施，国家外汇局可以依法采取限制其资金汇出入等措施。</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楷体" w:eastAsia="楷体" w:hAnsi="楷体" w:cs="宋体" w:hint="eastAsia"/>
          <w:kern w:val="0"/>
          <w:szCs w:val="24"/>
        </w:rPr>
        <w:t>第三十四条　托管人违法、违规行为严重的，中国证监会、国家外汇局将依法联合做出取消其托管人资格的决定。</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楷体" w:eastAsia="楷体" w:hAnsi="楷体" w:cs="宋体" w:hint="eastAsia"/>
          <w:kern w:val="0"/>
          <w:szCs w:val="24"/>
        </w:rPr>
        <w:t>第三十五条 合格投资者、托管人、证券公司等违反本办法的，由中国证监会、国家外汇局依法进行相应的行政处罚。</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宋体" w:hAnsi="宋体" w:cs="宋体" w:hint="eastAsia"/>
          <w:kern w:val="0"/>
          <w:szCs w:val="24"/>
        </w:rPr>
        <w:lastRenderedPageBreak/>
        <w:t> </w:t>
      </w:r>
    </w:p>
    <w:p w:rsidR="00E335A5" w:rsidRPr="00E335A5" w:rsidRDefault="00E335A5" w:rsidP="00E335A5">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E335A5">
        <w:rPr>
          <w:rFonts w:ascii="黑体" w:eastAsia="黑体" w:hAnsi="黑体" w:cs="宋体" w:hint="eastAsia"/>
          <w:kern w:val="0"/>
          <w:szCs w:val="24"/>
        </w:rPr>
        <w:t>第七章　 附　　则</w:t>
      </w:r>
    </w:p>
    <w:p w:rsidR="00E335A5" w:rsidRPr="00E335A5" w:rsidRDefault="00E335A5" w:rsidP="00E335A5">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E335A5">
        <w:rPr>
          <w:rFonts w:ascii="楷体" w:eastAsia="楷体" w:hAnsi="楷体" w:cs="宋体" w:hint="eastAsia"/>
          <w:kern w:val="0"/>
          <w:szCs w:val="24"/>
        </w:rPr>
        <w:t>第三十六条　香港特别行政区、澳门特别行政区、台湾地区设立的机构投资者到内地从事证券投资的，适用本办法的规定。</w:t>
      </w:r>
    </w:p>
    <w:p w:rsidR="00E335A5" w:rsidRPr="00E335A5" w:rsidRDefault="00E335A5" w:rsidP="00E335A5">
      <w:pPr>
        <w:widowControl/>
        <w:wordWrap w:val="0"/>
        <w:spacing w:before="100" w:beforeAutospacing="1" w:after="100" w:afterAutospacing="1" w:line="240" w:lineRule="auto"/>
        <w:ind w:firstLineChars="0" w:firstLine="480"/>
        <w:jc w:val="left"/>
        <w:rPr>
          <w:rFonts w:ascii="楷体" w:eastAsia="楷体" w:hAnsi="楷体" w:cs="宋体" w:hint="eastAsia"/>
          <w:kern w:val="0"/>
          <w:szCs w:val="24"/>
        </w:rPr>
      </w:pPr>
      <w:r w:rsidRPr="00E335A5">
        <w:rPr>
          <w:rFonts w:ascii="楷体" w:eastAsia="楷体" w:hAnsi="楷体" w:cs="宋体" w:hint="eastAsia"/>
          <w:kern w:val="0"/>
          <w:szCs w:val="24"/>
        </w:rPr>
        <w:t>第三十七条　本办法自2006年9月1日起施行，2002年11月5日中国证监会、中国人民银行联合发布的《合格境外机构投资者境内证券投资管理暂行办法》同时废止。</w:t>
      </w:r>
    </w:p>
    <w:p w:rsidR="007C2CB2" w:rsidRPr="00E335A5" w:rsidRDefault="007C2CB2" w:rsidP="00E86E16">
      <w:pPr>
        <w:ind w:firstLine="480"/>
      </w:pPr>
    </w:p>
    <w:sectPr w:rsidR="007C2CB2" w:rsidRPr="00E335A5" w:rsidSect="007C2CB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335A5"/>
    <w:rsid w:val="001A5FF1"/>
    <w:rsid w:val="002B3632"/>
    <w:rsid w:val="00336292"/>
    <w:rsid w:val="004E362B"/>
    <w:rsid w:val="006865F6"/>
    <w:rsid w:val="007C2CB2"/>
    <w:rsid w:val="008B1807"/>
    <w:rsid w:val="0091257B"/>
    <w:rsid w:val="00974848"/>
    <w:rsid w:val="00993F91"/>
    <w:rsid w:val="009A22DC"/>
    <w:rsid w:val="00A308A3"/>
    <w:rsid w:val="00BC6A61"/>
    <w:rsid w:val="00BE3843"/>
    <w:rsid w:val="00C24CFF"/>
    <w:rsid w:val="00C3552D"/>
    <w:rsid w:val="00C47305"/>
    <w:rsid w:val="00CC7C60"/>
    <w:rsid w:val="00D006D9"/>
    <w:rsid w:val="00E335A5"/>
    <w:rsid w:val="00E86E16"/>
    <w:rsid w:val="00F16F9E"/>
    <w:rsid w:val="00F442C3"/>
    <w:rsid w:val="00FF550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4"/>
        <w:szCs w:val="22"/>
        <w:lang w:val="en-US" w:eastAsia="zh-CN" w:bidi="ar-SA"/>
      </w:rPr>
    </w:rPrDefault>
    <w:pPrDefault>
      <w:pPr>
        <w:spacing w:line="360" w:lineRule="exact"/>
        <w:ind w:firstLineChars="200" w:firstLine="20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2CB2"/>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933973826">
      <w:bodyDiv w:val="1"/>
      <w:marLeft w:val="0"/>
      <w:marRight w:val="0"/>
      <w:marTop w:val="0"/>
      <w:marBottom w:val="0"/>
      <w:divBdr>
        <w:top w:val="none" w:sz="0" w:space="0" w:color="auto"/>
        <w:left w:val="none" w:sz="0" w:space="0" w:color="auto"/>
        <w:bottom w:val="none" w:sz="0" w:space="0" w:color="auto"/>
        <w:right w:val="none" w:sz="0" w:space="0" w:color="auto"/>
      </w:divBdr>
      <w:divsChild>
        <w:div w:id="1915044263">
          <w:marLeft w:val="0"/>
          <w:marRight w:val="0"/>
          <w:marTop w:val="0"/>
          <w:marBottom w:val="0"/>
          <w:divBdr>
            <w:top w:val="none" w:sz="0" w:space="0" w:color="auto"/>
            <w:left w:val="none" w:sz="0" w:space="0" w:color="auto"/>
            <w:bottom w:val="none" w:sz="0" w:space="0" w:color="auto"/>
            <w:right w:val="none" w:sz="0" w:space="0" w:color="auto"/>
          </w:divBdr>
          <w:divsChild>
            <w:div w:id="1011837178">
              <w:marLeft w:val="0"/>
              <w:marRight w:val="0"/>
              <w:marTop w:val="0"/>
              <w:marBottom w:val="0"/>
              <w:divBdr>
                <w:top w:val="none" w:sz="0" w:space="0" w:color="auto"/>
                <w:left w:val="none" w:sz="0" w:space="0" w:color="auto"/>
                <w:bottom w:val="none" w:sz="0" w:space="0" w:color="auto"/>
                <w:right w:val="none" w:sz="0" w:space="0" w:color="auto"/>
              </w:divBdr>
              <w:divsChild>
                <w:div w:id="1972396851">
                  <w:marLeft w:val="0"/>
                  <w:marRight w:val="0"/>
                  <w:marTop w:val="0"/>
                  <w:marBottom w:val="0"/>
                  <w:divBdr>
                    <w:top w:val="none" w:sz="0" w:space="0" w:color="auto"/>
                    <w:left w:val="none" w:sz="0" w:space="0" w:color="auto"/>
                    <w:bottom w:val="none" w:sz="0" w:space="0" w:color="auto"/>
                    <w:right w:val="none" w:sz="0" w:space="0" w:color="auto"/>
                  </w:divBdr>
                  <w:divsChild>
                    <w:div w:id="1516966112">
                      <w:marLeft w:val="0"/>
                      <w:marRight w:val="0"/>
                      <w:marTop w:val="0"/>
                      <w:marBottom w:val="0"/>
                      <w:divBdr>
                        <w:top w:val="none" w:sz="0" w:space="0" w:color="auto"/>
                        <w:left w:val="none" w:sz="0" w:space="0" w:color="auto"/>
                        <w:bottom w:val="none" w:sz="0" w:space="0" w:color="auto"/>
                        <w:right w:val="none" w:sz="0" w:space="0" w:color="auto"/>
                      </w:divBdr>
                      <w:divsChild>
                        <w:div w:id="1411461459">
                          <w:marLeft w:val="0"/>
                          <w:marRight w:val="0"/>
                          <w:marTop w:val="0"/>
                          <w:marBottom w:val="0"/>
                          <w:divBdr>
                            <w:top w:val="none" w:sz="0" w:space="0" w:color="auto"/>
                            <w:left w:val="none" w:sz="0" w:space="0" w:color="auto"/>
                            <w:bottom w:val="none" w:sz="0" w:space="0" w:color="auto"/>
                            <w:right w:val="none" w:sz="0" w:space="0" w:color="auto"/>
                          </w:divBdr>
                          <w:divsChild>
                            <w:div w:id="404373531">
                              <w:marLeft w:val="0"/>
                              <w:marRight w:val="0"/>
                              <w:marTop w:val="0"/>
                              <w:marBottom w:val="0"/>
                              <w:divBdr>
                                <w:top w:val="none" w:sz="0" w:space="0" w:color="auto"/>
                                <w:left w:val="none" w:sz="0" w:space="0" w:color="auto"/>
                                <w:bottom w:val="none" w:sz="0" w:space="0" w:color="auto"/>
                                <w:right w:val="none" w:sz="0" w:space="0" w:color="auto"/>
                              </w:divBdr>
                              <w:divsChild>
                                <w:div w:id="257249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533</Words>
  <Characters>3042</Characters>
  <Application>Microsoft Office Word</Application>
  <DocSecurity>0</DocSecurity>
  <Lines>25</Lines>
  <Paragraphs>7</Paragraphs>
  <ScaleCrop>false</ScaleCrop>
  <Company/>
  <LinksUpToDate>false</LinksUpToDate>
  <CharactersWithSpaces>3568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2013-12-06T05:53:00Z</dcterms:created>
  <dcterms:modified xsi:type="dcterms:W3CDTF">2013-12-06T05:53:00Z</dcterms:modified>
</cp:coreProperties>
</file>